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F89E4">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70B3C783">
      <w:pPr>
        <w:spacing w:line="36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72D8A32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宋体" w:hAnsi="宋体" w:eastAsia="宋体" w:cs="Times New Roman"/>
          <w:szCs w:val="21"/>
          <w:highlight w:val="none"/>
          <w:u w:val="single"/>
          <w:lang w:val="en-US" w:eastAsia="zh-CN"/>
        </w:rPr>
        <w:t>汽车生产线总装车间等设备资产</w:t>
      </w:r>
      <w:r>
        <w:rPr>
          <w:rFonts w:hint="eastAsia" w:asciiTheme="minorEastAsia" w:hAnsiTheme="minorEastAsia" w:eastAsiaTheme="minorEastAsia" w:cstheme="minorEastAsia"/>
          <w:sz w:val="21"/>
          <w:szCs w:val="21"/>
          <w:highlight w:val="none"/>
        </w:rPr>
        <w:t>项目，现做如下承诺：</w:t>
      </w:r>
    </w:p>
    <w:p w14:paraId="717B9A80">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DFBC88F">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7AE75C2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w:t>
      </w:r>
      <w:r>
        <w:rPr>
          <w:rFonts w:hint="eastAsia" w:asciiTheme="minorEastAsia" w:hAnsiTheme="minorEastAsia" w:eastAsiaTheme="minorEastAsia" w:cstheme="minorEastAsia"/>
          <w:sz w:val="21"/>
          <w:szCs w:val="21"/>
          <w:highlight w:val="none"/>
          <w:u w:val="single"/>
        </w:rPr>
        <w:t>受让方</w:t>
      </w:r>
      <w:r>
        <w:rPr>
          <w:rFonts w:hint="eastAsia" w:asciiTheme="minorEastAsia" w:hAnsiTheme="minorEastAsia" w:eastAsiaTheme="minorEastAsia" w:cstheme="minorEastAsia"/>
          <w:sz w:val="21"/>
          <w:szCs w:val="21"/>
          <w:highlight w:val="none"/>
          <w:lang w:val="en-US" w:eastAsia="zh-CN"/>
        </w:rPr>
        <w:t>之</w:t>
      </w:r>
      <w:r>
        <w:rPr>
          <w:rFonts w:hint="eastAsia" w:asciiTheme="minorEastAsia" w:hAnsiTheme="minorEastAsia" w:eastAsiaTheme="minorEastAsia" w:cstheme="minorEastAsia"/>
          <w:sz w:val="21"/>
          <w:szCs w:val="21"/>
          <w:highlight w:val="none"/>
        </w:rPr>
        <w:t>日起</w:t>
      </w:r>
      <w:r>
        <w:rPr>
          <w:rFonts w:hint="eastAsia" w:asciiTheme="minorEastAsia" w:hAnsiTheme="minorEastAsia" w:eastAsiaTheme="minorEastAsia" w:cstheme="minorEastAsia"/>
          <w:sz w:val="21"/>
          <w:szCs w:val="21"/>
          <w:highlight w:val="none"/>
          <w:u w:val="single"/>
          <w:lang w:val="en-US" w:eastAsia="zh-CN"/>
        </w:rPr>
        <w:t>3</w:t>
      </w:r>
      <w:r>
        <w:rPr>
          <w:rFonts w:hint="eastAsia" w:asciiTheme="minorEastAsia" w:hAnsiTheme="minorEastAsia" w:eastAsiaTheme="minorEastAsia" w:cstheme="minorEastAsia"/>
          <w:sz w:val="21"/>
          <w:szCs w:val="21"/>
          <w:highlight w:val="none"/>
        </w:rPr>
        <w:t>个工作日内</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携带</w:t>
      </w:r>
      <w:r>
        <w:rPr>
          <w:rFonts w:hint="eastAsia" w:asciiTheme="minorEastAsia" w:hAnsiTheme="minorEastAsia" w:eastAsiaTheme="minorEastAsia" w:cstheme="minorEastAsia"/>
          <w:sz w:val="21"/>
          <w:szCs w:val="21"/>
          <w:highlight w:val="none"/>
          <w:u w:val="single"/>
          <w:lang w:val="en-US" w:eastAsia="zh-CN"/>
        </w:rPr>
        <w:t>受让</w:t>
      </w:r>
      <w:r>
        <w:rPr>
          <w:rFonts w:hint="eastAsia" w:asciiTheme="minorEastAsia" w:hAnsiTheme="minorEastAsia" w:eastAsiaTheme="minorEastAsia" w:cstheme="minorEastAsia"/>
          <w:sz w:val="21"/>
          <w:szCs w:val="21"/>
          <w:highlight w:val="none"/>
          <w:lang w:val="en-US" w:eastAsia="zh-CN"/>
        </w:rPr>
        <w:t>申请材料原件到杭交所完成现场确认并</w:t>
      </w:r>
      <w:r>
        <w:rPr>
          <w:rFonts w:hint="eastAsia" w:asciiTheme="minorEastAsia" w:hAnsiTheme="minorEastAsia" w:eastAsiaTheme="minorEastAsia" w:cstheme="minorEastAsia"/>
          <w:sz w:val="21"/>
          <w:szCs w:val="21"/>
          <w:highlight w:val="none"/>
        </w:rPr>
        <w:t>签署</w:t>
      </w:r>
      <w:r>
        <w:rPr>
          <w:rFonts w:hint="eastAsia" w:asciiTheme="minorEastAsia" w:hAnsiTheme="minorEastAsia" w:eastAsiaTheme="minorEastAsia" w:cstheme="minorEastAsia"/>
          <w:sz w:val="21"/>
          <w:szCs w:val="21"/>
          <w:highlight w:val="none"/>
          <w:u w:val="single"/>
        </w:rPr>
        <w:t>《资产交易合同》、《安全、消防协议书》</w:t>
      </w:r>
      <w:r>
        <w:rPr>
          <w:rFonts w:hint="eastAsia" w:asciiTheme="minorEastAsia" w:hAnsiTheme="minorEastAsia" w:eastAsiaTheme="minorEastAsia" w:cstheme="minorEastAsia"/>
          <w:sz w:val="21"/>
          <w:szCs w:val="21"/>
          <w:highlight w:val="none"/>
        </w:rPr>
        <w:t>；并在</w:t>
      </w:r>
      <w:r>
        <w:rPr>
          <w:rFonts w:hint="eastAsia" w:asciiTheme="minorEastAsia" w:hAnsiTheme="minorEastAsia" w:eastAsiaTheme="minorEastAsia" w:cstheme="minorEastAsia"/>
          <w:sz w:val="21"/>
          <w:szCs w:val="21"/>
          <w:highlight w:val="none"/>
          <w:u w:val="single"/>
        </w:rPr>
        <w:t>《资产交易合同》、《安全、消防协议书》</w:t>
      </w:r>
      <w:r>
        <w:rPr>
          <w:rFonts w:hint="eastAsia" w:asciiTheme="minorEastAsia" w:hAnsiTheme="minorEastAsia" w:eastAsiaTheme="minorEastAsia" w:cstheme="minorEastAsia"/>
          <w:sz w:val="21"/>
          <w:szCs w:val="21"/>
          <w:highlight w:val="none"/>
        </w:rPr>
        <w:t>签署</w:t>
      </w:r>
      <w:r>
        <w:rPr>
          <w:rFonts w:hint="eastAsia" w:asciiTheme="minorEastAsia" w:hAnsiTheme="minorEastAsia" w:eastAsiaTheme="minorEastAsia" w:cstheme="minorEastAsia"/>
          <w:sz w:val="21"/>
          <w:szCs w:val="21"/>
          <w:highlight w:val="none"/>
          <w:lang w:val="en-US" w:eastAsia="zh-CN"/>
        </w:rPr>
        <w:t>之</w:t>
      </w:r>
      <w:r>
        <w:rPr>
          <w:rFonts w:hint="eastAsia" w:asciiTheme="minorEastAsia" w:hAnsiTheme="minorEastAsia" w:eastAsiaTheme="minorEastAsia" w:cstheme="minorEastAsia"/>
          <w:sz w:val="21"/>
          <w:szCs w:val="21"/>
          <w:highlight w:val="none"/>
        </w:rPr>
        <w:t>日起</w:t>
      </w:r>
      <w:r>
        <w:rPr>
          <w:rFonts w:hint="eastAsia" w:asciiTheme="minorEastAsia" w:hAnsiTheme="minorEastAsia" w:eastAsiaTheme="minorEastAsia" w:cstheme="minorEastAsia"/>
          <w:sz w:val="21"/>
          <w:szCs w:val="21"/>
          <w:highlight w:val="none"/>
          <w:u w:val="single"/>
          <w:lang w:val="en-US" w:eastAsia="zh-CN"/>
        </w:rPr>
        <w:t>5</w:t>
      </w:r>
      <w:r>
        <w:rPr>
          <w:rFonts w:hint="eastAsia" w:asciiTheme="minorEastAsia" w:hAnsiTheme="minorEastAsia" w:eastAsiaTheme="minorEastAsia" w:cstheme="minorEastAsia"/>
          <w:sz w:val="21"/>
          <w:szCs w:val="21"/>
          <w:highlight w:val="none"/>
        </w:rPr>
        <w:t>个工作日内向杭交所指定账户一次性支付</w:t>
      </w:r>
      <w:r>
        <w:rPr>
          <w:rFonts w:hint="eastAsia" w:asciiTheme="minorEastAsia" w:hAnsiTheme="minorEastAsia" w:eastAsiaTheme="minorEastAsia" w:cstheme="minorEastAsia"/>
          <w:sz w:val="21"/>
          <w:szCs w:val="21"/>
          <w:highlight w:val="none"/>
          <w:u w:val="single"/>
        </w:rPr>
        <w:t>交易服务费、交易价款</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150万元履约保证金</w:t>
      </w:r>
      <w:r>
        <w:rPr>
          <w:rFonts w:hint="eastAsia" w:asciiTheme="minorEastAsia" w:hAnsiTheme="minorEastAsia" w:eastAsiaTheme="minorEastAsia" w:cstheme="minorEastAsia"/>
          <w:sz w:val="21"/>
          <w:szCs w:val="21"/>
          <w:highlight w:val="none"/>
        </w:rPr>
        <w:t>等交易资金（以到账时间为准）；</w:t>
      </w:r>
    </w:p>
    <w:p w14:paraId="49EE401E">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258AD666">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5、知悉并承诺：交易标的的《标的清单》和标的物图片仅供参考，具体数量、规格型号、品种及品质及性能、真伪与实物不符的以现场展示实物为准。交易标的按现状处置（部分设备已处于报废状态），不保证其原用途、完整性、有效，转让方不负责提供标的相关随机文件、备件、工具、材质报告、售后质保或不保证提供的资料及备件的齐全性等，不对标的瑕疵及可能存在但未提及的瑕疵承担责任。如受让方按原用途使用造成危险或出现安全事故的，一切经济和法律责任由受让方自行承担。</w:t>
      </w:r>
    </w:p>
    <w:p w14:paraId="2EBD5B2C">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6、知悉并承诺：受让方认可其在向杭交所提交受让申请并且交纳交易保证金之前，已在交易标的展示地对交易标的进行了认真的现场踏勘，已完全了解并自愿接受交易标的的全部现状及瑕疵，并自愿承担一切交易风险。受让方同意按照交易标的现场展示之现状接受交易标的，受让方对交易标的的质量等没有任何异议。无论何时、何种原因，受让方不得对交易标的的质量等提出任何主张，也不得要求转让方承担任何维修义务。</w:t>
      </w:r>
    </w:p>
    <w:p w14:paraId="3686F51B">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7、知悉并承诺：交易标的存在部分设备已报废的情况，转让方不保证基于本次交易标的和产生的废品是可用的，不保证其完整性、品质及其原用途，不负责技术质量保证及售后服务，不承担一切瑕疵担保责任，并且不能保证主体和附件是否完好无损，均以现场实物现状为准。资产状况、数量与质量均以移交时的实物现状为准，本次披露的《标的清单》及照片仅供参考，不代表标的资产与其完全一致。无论受让方将交易标的的及相关废品用于何种目的（包括但不限于出售），转让方均不承担任何责任，受让方自行承担交易标的及相关废品利用过程中的一切责任。</w:t>
      </w:r>
    </w:p>
    <w:p w14:paraId="53735898">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rPr>
      </w:pPr>
      <w:r>
        <w:rPr>
          <w:rFonts w:hint="eastAsia" w:asciiTheme="minorEastAsia" w:hAnsiTheme="minorEastAsia"/>
          <w:sz w:val="21"/>
          <w:szCs w:val="21"/>
          <w:highlight w:val="none"/>
          <w:lang w:val="en-US" w:eastAsia="zh-CN"/>
        </w:rPr>
        <w:t>8、知悉并承诺：受让方需自行了解为完成标的资产清（拆）运工作所需的国家及标的所在地法律法规规定资质、条件和限制，如因意向受让方不符合相关政策法规的规定或按原用途使用而造成危险或出现事故的</w:t>
      </w:r>
      <w:bookmarkStart w:id="0" w:name="_GoBack"/>
      <w:bookmarkEnd w:id="0"/>
      <w:r>
        <w:rPr>
          <w:rFonts w:hint="eastAsia" w:asciiTheme="minorEastAsia" w:hAnsiTheme="minorEastAsia"/>
          <w:sz w:val="21"/>
          <w:szCs w:val="21"/>
          <w:highlight w:val="none"/>
          <w:lang w:val="en-US" w:eastAsia="zh-CN"/>
        </w:rPr>
        <w:t>，责任由意向受让方承担。</w:t>
      </w:r>
    </w:p>
    <w:p w14:paraId="0243EB6D">
      <w:pPr>
        <w:spacing w:line="240" w:lineRule="exact"/>
        <w:ind w:firstLine="420" w:firstLineChars="200"/>
        <w:rPr>
          <w:rFonts w:hint="eastAsia" w:ascii="宋体" w:hAnsi="宋体"/>
          <w:sz w:val="18"/>
          <w:szCs w:val="18"/>
          <w:highlight w:val="none"/>
        </w:rPr>
      </w:pP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按以下标准</w:t>
      </w:r>
      <w:r>
        <w:rPr>
          <w:rFonts w:hint="eastAsia" w:asciiTheme="minorEastAsia" w:hAnsiTheme="minorEastAsia" w:eastAsiaTheme="minorEastAsia"/>
          <w:sz w:val="21"/>
          <w:szCs w:val="21"/>
          <w:highlight w:val="none"/>
        </w:rPr>
        <w:t>交纳</w:t>
      </w:r>
      <w:r>
        <w:rPr>
          <w:rFonts w:hint="eastAsia" w:asciiTheme="minorEastAsia" w:hAnsiTheme="minorEastAsia" w:eastAsiaTheme="minorEastAsia"/>
          <w:sz w:val="21"/>
          <w:szCs w:val="21"/>
          <w:highlight w:val="none"/>
          <w:lang w:val="en-US" w:eastAsia="zh-CN"/>
        </w:rPr>
        <w:t>交易服务</w:t>
      </w:r>
      <w:r>
        <w:rPr>
          <w:rFonts w:hint="eastAsia" w:cs="Times New Roman" w:asciiTheme="minorEastAsia" w:hAnsiTheme="minorEastAsia" w:eastAsiaTheme="minorEastAsia"/>
          <w:sz w:val="21"/>
          <w:szCs w:val="21"/>
          <w:highlight w:val="none"/>
          <w:lang w:val="en-US" w:eastAsia="zh-CN"/>
        </w:rPr>
        <w:t>费，交易服务费采用分档累计的方式计算：</w:t>
      </w:r>
    </w:p>
    <w:p w14:paraId="6E6C9A30">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资产交易总额</w:t>
      </w:r>
      <w:r>
        <w:rPr>
          <w:rFonts w:hint="eastAsia" w:ascii="宋体" w:hAnsi="宋体"/>
          <w:sz w:val="18"/>
          <w:szCs w:val="18"/>
          <w:highlight w:val="none"/>
        </w:rPr>
        <w:tab/>
      </w:r>
      <w:r>
        <w:rPr>
          <w:rFonts w:hint="eastAsia" w:ascii="宋体" w:hAnsi="宋体"/>
          <w:sz w:val="18"/>
          <w:szCs w:val="18"/>
          <w:highlight w:val="none"/>
        </w:rPr>
        <w:t xml:space="preserve">                       分档费率</w:t>
      </w:r>
    </w:p>
    <w:p w14:paraId="5E0B74C6">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500万元及以下（含，下同）</w:t>
      </w:r>
      <w:r>
        <w:rPr>
          <w:rFonts w:hint="eastAsia" w:ascii="宋体" w:hAnsi="宋体"/>
          <w:sz w:val="18"/>
          <w:szCs w:val="18"/>
          <w:highlight w:val="none"/>
        </w:rPr>
        <w:tab/>
      </w:r>
      <w:r>
        <w:rPr>
          <w:rFonts w:hint="eastAsia" w:ascii="宋体" w:hAnsi="宋体"/>
          <w:sz w:val="18"/>
          <w:szCs w:val="18"/>
          <w:highlight w:val="none"/>
          <w:lang w:val="en-US" w:eastAsia="zh-CN"/>
        </w:rPr>
        <w:t xml:space="preserve">            </w:t>
      </w:r>
      <w:r>
        <w:rPr>
          <w:rFonts w:hint="eastAsia" w:ascii="宋体" w:hAnsi="宋体"/>
          <w:sz w:val="18"/>
          <w:szCs w:val="18"/>
          <w:highlight w:val="none"/>
        </w:rPr>
        <w:t>4%</w:t>
      </w:r>
    </w:p>
    <w:p w14:paraId="38F4232F">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500万元-1000万元</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3%</w:t>
      </w:r>
    </w:p>
    <w:p w14:paraId="62DE8C16">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 xml:space="preserve">1000万元-2000万元          </w:t>
      </w:r>
      <w:r>
        <w:rPr>
          <w:rFonts w:hint="eastAsia" w:ascii="宋体" w:hAnsi="宋体"/>
          <w:sz w:val="18"/>
          <w:szCs w:val="18"/>
          <w:highlight w:val="none"/>
        </w:rPr>
        <w:tab/>
      </w:r>
      <w:r>
        <w:rPr>
          <w:rFonts w:hint="eastAsia" w:ascii="宋体" w:hAnsi="宋体"/>
          <w:sz w:val="18"/>
          <w:szCs w:val="18"/>
          <w:highlight w:val="none"/>
          <w:lang w:val="en-US" w:eastAsia="zh-CN"/>
        </w:rPr>
        <w:t xml:space="preserve">            </w:t>
      </w:r>
      <w:r>
        <w:rPr>
          <w:rFonts w:hint="eastAsia" w:ascii="宋体" w:hAnsi="宋体"/>
          <w:sz w:val="18"/>
          <w:szCs w:val="18"/>
          <w:highlight w:val="none"/>
        </w:rPr>
        <w:t>2.4%</w:t>
      </w:r>
    </w:p>
    <w:p w14:paraId="4F4E1904">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2000万元-5000万元</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2%</w:t>
      </w:r>
    </w:p>
    <w:p w14:paraId="69273886">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5000万元-10000万元</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1%</w:t>
      </w:r>
    </w:p>
    <w:p w14:paraId="5FCC2D59">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10000万元-50000万元</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0.6%</w:t>
      </w:r>
    </w:p>
    <w:p w14:paraId="141D9F44">
      <w:pPr>
        <w:spacing w:line="360" w:lineRule="auto"/>
        <w:ind w:firstLine="360" w:firstLineChars="200"/>
        <w:rPr>
          <w:rFonts w:asciiTheme="minorEastAsia" w:hAnsiTheme="minorEastAsia" w:eastAsiaTheme="minorEastAsia"/>
          <w:sz w:val="21"/>
          <w:szCs w:val="21"/>
          <w:highlight w:val="none"/>
        </w:rPr>
      </w:pPr>
      <w:r>
        <w:rPr>
          <w:rFonts w:hint="eastAsia" w:ascii="宋体" w:hAnsi="宋体"/>
          <w:sz w:val="18"/>
          <w:szCs w:val="18"/>
          <w:highlight w:val="none"/>
        </w:rPr>
        <w:t>50000万以上</w:t>
      </w:r>
      <w:r>
        <w:rPr>
          <w:rFonts w:hint="eastAsia" w:ascii="宋体" w:hAnsi="宋体"/>
          <w:sz w:val="18"/>
          <w:szCs w:val="18"/>
          <w:highlight w:val="none"/>
        </w:rPr>
        <w:tab/>
      </w:r>
      <w:r>
        <w:rPr>
          <w:rFonts w:hint="eastAsia" w:ascii="宋体" w:hAnsi="宋体"/>
          <w:sz w:val="18"/>
          <w:szCs w:val="18"/>
          <w:highlight w:val="none"/>
        </w:rPr>
        <w:t xml:space="preserve">                         0.4%</w:t>
      </w:r>
      <w:r>
        <w:rPr>
          <w:rFonts w:asciiTheme="minorEastAsia" w:hAnsiTheme="minorEastAsia" w:eastAsiaTheme="minorEastAsia"/>
          <w:sz w:val="21"/>
          <w:szCs w:val="21"/>
          <w:highlight w:val="none"/>
        </w:rPr>
        <w:t>。</w:t>
      </w:r>
    </w:p>
    <w:p w14:paraId="43B00082">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10</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2883C5B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14:paraId="0FD8A849">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14:paraId="234CD0CB">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《资产交易合同》、《安全、消防协议书》</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lang w:val="en-US" w:eastAsia="zh-CN"/>
        </w:rPr>
        <w:t>交易服务费、</w:t>
      </w:r>
      <w:r>
        <w:rPr>
          <w:rFonts w:hint="eastAsia" w:asciiTheme="minorEastAsia" w:hAnsiTheme="minorEastAsia" w:eastAsiaTheme="minorEastAsia"/>
          <w:sz w:val="21"/>
          <w:szCs w:val="21"/>
          <w:highlight w:val="none"/>
          <w:u w:val="single"/>
          <w:lang w:val="en-US" w:eastAsia="zh-CN"/>
        </w:rPr>
        <w:t>履约保证金、</w:t>
      </w:r>
      <w:r>
        <w:rPr>
          <w:rFonts w:asciiTheme="minorEastAsia" w:hAnsiTheme="minorEastAsia" w:eastAsiaTheme="minorEastAsia"/>
          <w:sz w:val="21"/>
          <w:szCs w:val="21"/>
          <w:highlight w:val="none"/>
          <w:u w:val="single"/>
        </w:rPr>
        <w:t>交易价款</w:t>
      </w:r>
      <w:r>
        <w:rPr>
          <w:rFonts w:asciiTheme="minorEastAsia" w:hAnsiTheme="minorEastAsia" w:eastAsiaTheme="minorEastAsia"/>
          <w:sz w:val="21"/>
          <w:szCs w:val="21"/>
          <w:highlight w:val="none"/>
        </w:rPr>
        <w:t>的；</w:t>
      </w:r>
    </w:p>
    <w:p w14:paraId="165773D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14:paraId="193254F9">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38D3D91E">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14:paraId="021CD57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5A21"/>
    <w:rsid w:val="02720D6F"/>
    <w:rsid w:val="03066051"/>
    <w:rsid w:val="033F1305"/>
    <w:rsid w:val="034D6E31"/>
    <w:rsid w:val="03637B8E"/>
    <w:rsid w:val="039372CC"/>
    <w:rsid w:val="09E76B80"/>
    <w:rsid w:val="0B244B23"/>
    <w:rsid w:val="0C822CF8"/>
    <w:rsid w:val="0DF1051E"/>
    <w:rsid w:val="0EA115E7"/>
    <w:rsid w:val="0F400683"/>
    <w:rsid w:val="10411EEC"/>
    <w:rsid w:val="11895FFE"/>
    <w:rsid w:val="15337A69"/>
    <w:rsid w:val="16816A9E"/>
    <w:rsid w:val="173E5800"/>
    <w:rsid w:val="1AE925D2"/>
    <w:rsid w:val="1BA11F39"/>
    <w:rsid w:val="2211247F"/>
    <w:rsid w:val="22F23DBF"/>
    <w:rsid w:val="23F34870"/>
    <w:rsid w:val="26275F05"/>
    <w:rsid w:val="267218C9"/>
    <w:rsid w:val="27541626"/>
    <w:rsid w:val="27977B16"/>
    <w:rsid w:val="27AA290F"/>
    <w:rsid w:val="285D694C"/>
    <w:rsid w:val="2AA7511C"/>
    <w:rsid w:val="2D677D69"/>
    <w:rsid w:val="2DF53D71"/>
    <w:rsid w:val="2F4F78D8"/>
    <w:rsid w:val="2FA5177C"/>
    <w:rsid w:val="30DF5D34"/>
    <w:rsid w:val="31B87656"/>
    <w:rsid w:val="32FB67E2"/>
    <w:rsid w:val="385F4F8F"/>
    <w:rsid w:val="390D60C4"/>
    <w:rsid w:val="39837D6C"/>
    <w:rsid w:val="3B103714"/>
    <w:rsid w:val="3B6738AB"/>
    <w:rsid w:val="3E2E7D67"/>
    <w:rsid w:val="424F6C94"/>
    <w:rsid w:val="434954AA"/>
    <w:rsid w:val="45962498"/>
    <w:rsid w:val="45D5187E"/>
    <w:rsid w:val="48FD706E"/>
    <w:rsid w:val="499E6D18"/>
    <w:rsid w:val="4B084EE4"/>
    <w:rsid w:val="50AC4FFB"/>
    <w:rsid w:val="516A6D8F"/>
    <w:rsid w:val="5187378F"/>
    <w:rsid w:val="51CF598C"/>
    <w:rsid w:val="530C093A"/>
    <w:rsid w:val="53241334"/>
    <w:rsid w:val="53C26C8E"/>
    <w:rsid w:val="566C6246"/>
    <w:rsid w:val="574E5FE2"/>
    <w:rsid w:val="58760D95"/>
    <w:rsid w:val="58B12DCB"/>
    <w:rsid w:val="5A7D1B2E"/>
    <w:rsid w:val="5B7B2FC6"/>
    <w:rsid w:val="5C5C5FCC"/>
    <w:rsid w:val="60450969"/>
    <w:rsid w:val="619D745F"/>
    <w:rsid w:val="63C12C87"/>
    <w:rsid w:val="65FA377A"/>
    <w:rsid w:val="68F716F5"/>
    <w:rsid w:val="6AF126F7"/>
    <w:rsid w:val="6B2777BD"/>
    <w:rsid w:val="6B5475CA"/>
    <w:rsid w:val="6B7C4F72"/>
    <w:rsid w:val="6BBC636F"/>
    <w:rsid w:val="6DBC5E01"/>
    <w:rsid w:val="707830E9"/>
    <w:rsid w:val="70B47A2A"/>
    <w:rsid w:val="714C77AC"/>
    <w:rsid w:val="71D57417"/>
    <w:rsid w:val="725239F0"/>
    <w:rsid w:val="730B6342"/>
    <w:rsid w:val="745D4756"/>
    <w:rsid w:val="75414AE8"/>
    <w:rsid w:val="76DA15F9"/>
    <w:rsid w:val="77E357C3"/>
    <w:rsid w:val="787439E9"/>
    <w:rsid w:val="795E558F"/>
    <w:rsid w:val="7B597F4D"/>
    <w:rsid w:val="7C5A0139"/>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2025-04-27T09:25:37Z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978EBB482FF242BC82F1255ED30AC512</vt:lpwstr>
  </property>
</Properties>
</file>