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编号：</w:t>
      </w:r>
    </w:p>
    <w:p>
      <w:pPr>
        <w:rPr>
          <w:rFonts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eastAsia" w:ascii="楷体" w:hAnsi="楷体" w:eastAsia="楷体" w:cs="楷体"/>
          <w:color w:val="auto"/>
          <w:sz w:val="28"/>
          <w:szCs w:val="28"/>
        </w:rPr>
      </w:pPr>
    </w:p>
    <w:p>
      <w:pPr>
        <w:jc w:val="left"/>
        <w:rPr>
          <w:rFonts w:ascii="楷体" w:hAnsi="楷体" w:eastAsia="楷体" w:cs="楷体"/>
          <w:b/>
          <w:bCs/>
          <w:color w:val="auto"/>
          <w:sz w:val="28"/>
          <w:szCs w:val="28"/>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2.1 该物业招商业态为除属地政府及相关职能部门明令禁止经营的业态外，其余业态</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经行政审批</w:t>
      </w:r>
      <w:r>
        <w:rPr>
          <w:rFonts w:hint="eastAsia" w:ascii="楷体" w:hAnsi="楷体" w:eastAsia="楷体" w:cs="楷体"/>
          <w:color w:val="auto"/>
          <w:sz w:val="28"/>
          <w:szCs w:val="28"/>
          <w:lang w:val="en-US" w:eastAsia="zh-CN"/>
        </w:rPr>
        <w:t>通过</w:t>
      </w:r>
      <w:r>
        <w:rPr>
          <w:rFonts w:hint="eastAsia" w:ascii="楷体" w:hAnsi="楷体" w:eastAsia="楷体" w:cs="楷体"/>
          <w:color w:val="auto"/>
          <w:sz w:val="28"/>
          <w:szCs w:val="28"/>
        </w:rPr>
        <w:t>后均可经营，其他经营项目以法律法规的规定以及有关部门审批同意为准。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3.4乙方在装修过程中存在不安全的行为，造成甲方损失的，甲方有权直接从装修保证金中扣除。装修期满，乙方装修完毕且经相关部门验收合格后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w:t>
      </w:r>
      <w:bookmarkStart w:id="2" w:name="_GoBack"/>
      <w:bookmarkEnd w:id="2"/>
      <w:r>
        <w:rPr>
          <w:rFonts w:hint="eastAsia" w:ascii="楷体" w:hAnsi="楷体" w:eastAsia="楷体" w:cs="楷体"/>
          <w:color w:val="auto"/>
          <w:sz w:val="28"/>
          <w:szCs w:val="28"/>
        </w:rPr>
        <w:t>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4.1.2付款方式：租金先付后用，每</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支付一次,该租金已包含增值税专用发票额外税率等费用。第一期租金在</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月</w:t>
      </w:r>
      <w:r>
        <w:rPr>
          <w:rFonts w:hint="eastAsia" w:ascii="楷体" w:hAnsi="楷体" w:eastAsia="楷体" w:cs="楷体"/>
          <w:strike w:val="0"/>
          <w:dstrike w:val="0"/>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日前由乙方支付给</w:t>
      </w:r>
      <w:r>
        <w:rPr>
          <w:rFonts w:hint="eastAsia" w:ascii="楷体" w:hAnsi="楷体" w:eastAsia="楷体" w:cs="楷体"/>
          <w:color w:val="auto"/>
          <w:sz w:val="28"/>
          <w:szCs w:val="28"/>
          <w:highlight w:val="none"/>
          <w:lang w:val="en-US" w:eastAsia="zh-CN"/>
        </w:rPr>
        <w:t>杭州产权交易所</w:t>
      </w:r>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highlight w:val="none"/>
        </w:rPr>
        <w:t>4.2.2乙方支付的履约保证金，该保证金不是乙方预付的租金、物业服务费，仅是乙方履行本合同约定的义务的担保。如乙方违反</w:t>
      </w:r>
      <w:r>
        <w:rPr>
          <w:rFonts w:hint="eastAsia" w:ascii="楷体" w:hAnsi="楷体" w:eastAsia="楷体" w:cs="楷体"/>
          <w:color w:val="auto"/>
          <w:sz w:val="28"/>
          <w:szCs w:val="28"/>
        </w:rPr>
        <w:t>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甲方有权从履约保证金中予以扣除</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1</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7.2.1租赁期满或因故解约，乙方同意所有该物业内形成附合的装饰装修物无偿归甲方所有，乙方不得拆走或损坏，并应</w:t>
      </w:r>
      <w:r>
        <w:rPr>
          <w:rFonts w:hint="eastAsia" w:ascii="楷体" w:hAnsi="楷体" w:eastAsia="楷体" w:cs="楷体"/>
          <w:color w:val="auto"/>
          <w:sz w:val="28"/>
          <w:szCs w:val="28"/>
          <w:lang w:val="en-US" w:eastAsia="zh-CN"/>
        </w:rPr>
        <w:t>及时</w:t>
      </w:r>
      <w:r>
        <w:rPr>
          <w:rFonts w:hint="eastAsia" w:ascii="楷体" w:hAnsi="楷体" w:eastAsia="楷体" w:cs="楷体"/>
          <w:color w:val="auto"/>
          <w:sz w:val="28"/>
          <w:szCs w:val="28"/>
        </w:rPr>
        <w:t xml:space="preserve">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bookmarkStart w:id="1" w:name="OLE_LINK2"/>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bookmarkEnd w:id="1"/>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w:t>
      </w:r>
      <w:r>
        <w:rPr>
          <w:rFonts w:hint="eastAsia" w:ascii="楷体" w:hAnsi="楷体" w:eastAsia="楷体" w:cs="楷体"/>
          <w:color w:val="auto"/>
          <w:sz w:val="28"/>
          <w:szCs w:val="28"/>
          <w:highlight w:val="none"/>
        </w:rPr>
        <w:t>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pPr>
        <w:ind w:firstLine="560" w:firstLineChars="200"/>
        <w:jc w:val="left"/>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color w:val="auto"/>
          <w:sz w:val="28"/>
          <w:szCs w:val="28"/>
        </w:rPr>
        <w:t>8.3.</w:t>
      </w:r>
      <w:r>
        <w:rPr>
          <w:rFonts w:hint="eastAsia" w:ascii="楷体" w:hAnsi="楷体" w:eastAsia="楷体" w:cs="楷体"/>
          <w:color w:val="auto"/>
          <w:sz w:val="28"/>
          <w:szCs w:val="28"/>
          <w:lang w:val="en-US" w:eastAsia="zh-CN"/>
        </w:rPr>
        <w:t xml:space="preserve">5 </w:t>
      </w:r>
      <w:r>
        <w:rPr>
          <w:rFonts w:hint="eastAsia" w:ascii="楷体" w:hAnsi="楷体" w:eastAsia="楷体" w:cs="楷体"/>
          <w:b w:val="0"/>
          <w:bCs w:val="0"/>
          <w:color w:val="auto"/>
          <w:sz w:val="28"/>
          <w:szCs w:val="28"/>
          <w:vertAlign w:val="baseline"/>
          <w:lang w:val="en-US" w:eastAsia="zh-CN"/>
        </w:rPr>
        <w:t>如因房屋土地性质、规划用途、投诉信访或职能部门要求关停等因素导致乙方无法实际或持续经营，致使合同无法履行的，甲乙双方可在互不追究违约责任的前提下，协商一致提前终止本协议。</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的租金（如有），并双倍返还乙方已缴纳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保证金作为甲方单方解约的补偿，甲方无需承担其他违约责任或赔偿。甲方付款前，乙方应当提供相应发票或者收据，否则甲方付款时间相应顺延。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若因乙方违约等情形导致合同解除或终止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r>
        <w:rPr>
          <w:rFonts w:hint="eastAsia" w:ascii="楷体" w:hAnsi="楷体" w:eastAsia="楷体" w:cs="楷体"/>
          <w:color w:val="auto"/>
          <w:sz w:val="28"/>
          <w:szCs w:val="28"/>
          <w:lang w:val="en-US" w:eastAsia="zh-CN"/>
        </w:rPr>
        <w:t>0571-87769593</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15.2.2 正常的房屋大修及日常的房屋维修的界线是：大修是指</w:t>
      </w:r>
      <w:r>
        <w:rPr>
          <w:rFonts w:hint="eastAsia" w:ascii="楷体" w:hAnsi="楷体" w:eastAsia="楷体" w:cs="楷体"/>
          <w:b w:val="0"/>
          <w:bCs w:val="0"/>
          <w:color w:val="auto"/>
          <w:sz w:val="28"/>
          <w:szCs w:val="28"/>
          <w:vertAlign w:val="baseline"/>
          <w:lang w:val="en-US" w:eastAsia="zh-CN"/>
        </w:rPr>
        <w:t>涉及房屋地基、基础及主体结构的改造、加固、拆除；日常维修是指除建筑主体结构外，建筑物、设备设施出现损坏或失效，需要确保建筑物、设备设施功能及安全而实施的项目</w:t>
      </w:r>
      <w:r>
        <w:rPr>
          <w:rFonts w:hint="eastAsia" w:ascii="楷体" w:hAnsi="楷体" w:eastAsia="楷体" w:cs="楷体"/>
          <w:color w:val="auto"/>
          <w:sz w:val="28"/>
          <w:szCs w:val="28"/>
        </w:rPr>
        <w:t>。维修费用以甲方委托的维修单位为准。</w:t>
      </w: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合同签署页</w:t>
      </w:r>
      <w:r>
        <w:rPr>
          <w:rFonts w:hint="eastAsia" w:ascii="楷体" w:hAnsi="楷体" w:eastAsia="楷体" w:cs="楷体"/>
          <w:sz w:val="28"/>
          <w:szCs w:val="28"/>
          <w:highlight w:val="none"/>
          <w:lang w:eastAsia="zh-CN"/>
        </w:rPr>
        <w:t>）</w:t>
      </w: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代表人（签字）：</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firstLine="1120" w:firstLineChars="40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pStyle w:val="3"/>
        <w:spacing w:line="360" w:lineRule="auto"/>
        <w:ind w:left="0" w:leftChars="0"/>
        <w:jc w:val="center"/>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（2023年8月修订版）</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贰千至伍万元</w:t>
      </w:r>
      <w:r>
        <w:rPr>
          <w:rFonts w:hint="eastAsia" w:ascii="楷体" w:hAnsi="楷体" w:eastAsia="楷体" w:cs="楷体"/>
          <w:color w:val="auto"/>
          <w:sz w:val="28"/>
          <w:szCs w:val="28"/>
          <w:lang w:val="en-US" w:eastAsia="zh-CN"/>
        </w:rPr>
        <w:t>】元（从履约保证金中扣除）。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640" w:firstLineChars="200"/>
        <w:rPr>
          <w:rFonts w:ascii="黑体" w:hAnsi="黑体" w:eastAsia="黑体"/>
          <w:color w:val="auto"/>
          <w:sz w:val="32"/>
          <w:szCs w:val="32"/>
        </w:rPr>
      </w:pPr>
      <w:r>
        <w:rPr>
          <w:rFonts w:hint="eastAsia" w:ascii="黑体" w:hAnsi="黑体" w:eastAsia="黑体"/>
          <w:color w:val="auto"/>
          <w:sz w:val="32"/>
          <w:szCs w:val="32"/>
        </w:rPr>
        <w:t>附件4</w:t>
      </w:r>
      <w:r>
        <w:rPr>
          <w:rFonts w:ascii="黑体" w:hAnsi="黑体" w:eastAsia="黑体"/>
          <w:color w:val="auto"/>
          <w:sz w:val="32"/>
          <w:szCs w:val="32"/>
        </w:rPr>
        <w:t xml:space="preserve">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 xml:space="preserve">（签字）：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5EA3E84-DA66-4206-9C15-DCEF7EEC83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44AB1A9E-6FF1-4B49-A418-5D76900C082D}"/>
  </w:font>
  <w:font w:name="楷体">
    <w:panose1 w:val="02010609060101010101"/>
    <w:charset w:val="86"/>
    <w:family w:val="modern"/>
    <w:pitch w:val="default"/>
    <w:sig w:usb0="800002BF" w:usb1="38CF7CFA" w:usb2="00000016" w:usb3="00000000" w:csb0="00040001" w:csb1="00000000"/>
    <w:embedRegular r:id="rId3" w:fontKey="{B64E75E6-7036-43C2-AFEC-85239D01DA8D}"/>
  </w:font>
  <w:font w:name="仿宋_GB2312">
    <w:panose1 w:val="02010609030101010101"/>
    <w:charset w:val="86"/>
    <w:family w:val="auto"/>
    <w:pitch w:val="default"/>
    <w:sig w:usb0="00000001" w:usb1="080E0000" w:usb2="00000000" w:usb3="00000000" w:csb0="00040000" w:csb1="00000000"/>
    <w:embedRegular r:id="rId4" w:fontKey="{AD04EECA-17E5-4F05-99E7-E1AF305FF71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9E5BD8"/>
    <w:rsid w:val="06B616D3"/>
    <w:rsid w:val="06FF01C2"/>
    <w:rsid w:val="08A12E48"/>
    <w:rsid w:val="08A172A1"/>
    <w:rsid w:val="091E5D6D"/>
    <w:rsid w:val="09C1735B"/>
    <w:rsid w:val="09F8097E"/>
    <w:rsid w:val="0AA80D6A"/>
    <w:rsid w:val="0B3D6797"/>
    <w:rsid w:val="0C882A07"/>
    <w:rsid w:val="0EC8521E"/>
    <w:rsid w:val="0FAE3713"/>
    <w:rsid w:val="10C50D3F"/>
    <w:rsid w:val="11285EF4"/>
    <w:rsid w:val="11AC518E"/>
    <w:rsid w:val="12A26DB0"/>
    <w:rsid w:val="133408F7"/>
    <w:rsid w:val="138F2F87"/>
    <w:rsid w:val="149705AB"/>
    <w:rsid w:val="15406095"/>
    <w:rsid w:val="15BB741A"/>
    <w:rsid w:val="15C61F79"/>
    <w:rsid w:val="16036A85"/>
    <w:rsid w:val="16BE3EE0"/>
    <w:rsid w:val="1797418F"/>
    <w:rsid w:val="181538FB"/>
    <w:rsid w:val="182B17CD"/>
    <w:rsid w:val="183028D1"/>
    <w:rsid w:val="186476EC"/>
    <w:rsid w:val="1A0C522C"/>
    <w:rsid w:val="1A96309B"/>
    <w:rsid w:val="1BB6377E"/>
    <w:rsid w:val="1DE1690F"/>
    <w:rsid w:val="1DF04F32"/>
    <w:rsid w:val="1F334A54"/>
    <w:rsid w:val="200867E8"/>
    <w:rsid w:val="21A67760"/>
    <w:rsid w:val="21CE5B69"/>
    <w:rsid w:val="24D81790"/>
    <w:rsid w:val="252A4D65"/>
    <w:rsid w:val="25FA2770"/>
    <w:rsid w:val="272F1FA5"/>
    <w:rsid w:val="278C6EA4"/>
    <w:rsid w:val="2859288D"/>
    <w:rsid w:val="28764087"/>
    <w:rsid w:val="28C72DDD"/>
    <w:rsid w:val="2905396E"/>
    <w:rsid w:val="2A084DBF"/>
    <w:rsid w:val="2A782EBD"/>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851BE2"/>
    <w:rsid w:val="375F668E"/>
    <w:rsid w:val="37A739D4"/>
    <w:rsid w:val="37D22C05"/>
    <w:rsid w:val="38233460"/>
    <w:rsid w:val="38571BCD"/>
    <w:rsid w:val="38A73623"/>
    <w:rsid w:val="39551FA1"/>
    <w:rsid w:val="395CB793"/>
    <w:rsid w:val="3A267238"/>
    <w:rsid w:val="3A7C48FD"/>
    <w:rsid w:val="3BC0137E"/>
    <w:rsid w:val="3BD76AC6"/>
    <w:rsid w:val="3DB00F27"/>
    <w:rsid w:val="3E143861"/>
    <w:rsid w:val="3EFFDCD9"/>
    <w:rsid w:val="3FD14A0E"/>
    <w:rsid w:val="41A40581"/>
    <w:rsid w:val="41DA711D"/>
    <w:rsid w:val="41F42FCE"/>
    <w:rsid w:val="42043080"/>
    <w:rsid w:val="428C60A6"/>
    <w:rsid w:val="430A4998"/>
    <w:rsid w:val="432C4745"/>
    <w:rsid w:val="44A64CC8"/>
    <w:rsid w:val="44DB3C1C"/>
    <w:rsid w:val="45376F1C"/>
    <w:rsid w:val="454852A1"/>
    <w:rsid w:val="45806396"/>
    <w:rsid w:val="462E594E"/>
    <w:rsid w:val="46AF53E9"/>
    <w:rsid w:val="46FA3F26"/>
    <w:rsid w:val="48B42328"/>
    <w:rsid w:val="49F067AF"/>
    <w:rsid w:val="4B6C5F5F"/>
    <w:rsid w:val="4BA91A77"/>
    <w:rsid w:val="4C86434F"/>
    <w:rsid w:val="4FE17A31"/>
    <w:rsid w:val="502C1E79"/>
    <w:rsid w:val="51704A25"/>
    <w:rsid w:val="52412577"/>
    <w:rsid w:val="52FC4B82"/>
    <w:rsid w:val="53DF1099"/>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5F0A2432"/>
    <w:rsid w:val="60732927"/>
    <w:rsid w:val="61306A6A"/>
    <w:rsid w:val="6238444A"/>
    <w:rsid w:val="626A79D9"/>
    <w:rsid w:val="62E93AFB"/>
    <w:rsid w:val="63C50D83"/>
    <w:rsid w:val="64690602"/>
    <w:rsid w:val="65EE13E0"/>
    <w:rsid w:val="66B72759"/>
    <w:rsid w:val="67780823"/>
    <w:rsid w:val="685A6B84"/>
    <w:rsid w:val="68925AA2"/>
    <w:rsid w:val="69011CAF"/>
    <w:rsid w:val="69F41A32"/>
    <w:rsid w:val="6A2E5793"/>
    <w:rsid w:val="6BC53CE9"/>
    <w:rsid w:val="6BEB4E22"/>
    <w:rsid w:val="6C586093"/>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FD0B59"/>
    <w:rsid w:val="7C887303"/>
    <w:rsid w:val="7DFD47EA"/>
    <w:rsid w:val="7E3ECBE5"/>
    <w:rsid w:val="7E7C3015"/>
    <w:rsid w:val="7E953F59"/>
    <w:rsid w:val="7EF02F3D"/>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35</Pages>
  <Words>14937</Words>
  <Characters>15408</Characters>
  <Lines>127</Lines>
  <Paragraphs>35</Paragraphs>
  <TotalTime>120</TotalTime>
  <ScaleCrop>false</ScaleCrop>
  <LinksUpToDate>false</LinksUpToDate>
  <CharactersWithSpaces>16869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tsj</cp:lastModifiedBy>
  <cp:lastPrinted>2021-11-01T01:33:00Z</cp:lastPrinted>
  <dcterms:modified xsi:type="dcterms:W3CDTF">2025-03-10T03:23:59Z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6DD26383FB354FFD826E00EB8EE60778_13</vt:lpwstr>
  </property>
  <property fmtid="{D5CDD505-2E9C-101B-9397-08002B2CF9AE}" pid="4" name="KSOTemplateDocerSaveRecord">
    <vt:lpwstr>eyJoZGlkIjoiNzIyYWFjNDUxNzBjZDA0MGY4ODY5ZDM0NThkYWM3NjUiLCJ1c2VySWQiOiIzMjE5MTUyMDcifQ==</vt:lpwstr>
  </property>
</Properties>
</file>