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杭州产权交易所有限责任公司：</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spacing w:line="4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我方拟承租</w:t>
      </w:r>
      <w:r>
        <w:rPr>
          <w:rFonts w:hint="eastAsia" w:asciiTheme="minorEastAsia" w:hAnsiTheme="minorEastAsia" w:eastAsiaTheme="minorEastAsia"/>
          <w:szCs w:val="21"/>
          <w:u w:val="single"/>
        </w:rPr>
        <w:t>杭州市拱墅区苏荷汇商务中心2幢1至7层部分房屋10年租赁权</w:t>
      </w:r>
      <w:r>
        <w:rPr>
          <w:rFonts w:hint="eastAsia" w:asciiTheme="minorEastAsia" w:hAnsiTheme="minorEastAsia" w:eastAsiaTheme="minorEastAsia"/>
          <w:szCs w:val="21"/>
        </w:rPr>
        <w:t>，现做如下承诺：</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1、我方已认真阅读、知悉并自愿遵守《房屋出租交易规则》、《在线报价实施办法》和《杭州产权交易所在线报价交易须知》等文件的规定，同意按照相关规定参加本项目竞价活动。</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2、我方提交承租申请并且交纳交易保证金后，即视为已详细阅读并完全认可本项目所披露内容以及已完成对标的的现场踏勘，表明已完全了解并自愿接受标的的全部现状及瑕疵，并自愿承担一切交易风险。</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3、若我方成为承租方，我方已知悉并同意：同意在被确定为承租方之日起 3 个工作日内，携带承租申请材料原件到杭交所完成现场确认并签署《成交通知书》</w:t>
      </w:r>
      <w:r>
        <w:rPr>
          <w:rFonts w:hint="eastAsia" w:asciiTheme="minorEastAsia" w:hAnsiTheme="minorEastAsia" w:eastAsiaTheme="minorEastAsia"/>
          <w:szCs w:val="21"/>
          <w:lang w:eastAsia="zh-CN"/>
        </w:rPr>
        <w:t>、《苏荷汇商务中心2幢租赁合同》，</w:t>
      </w:r>
      <w:r>
        <w:rPr>
          <w:rFonts w:hint="eastAsia" w:asciiTheme="minorEastAsia" w:hAnsiTheme="minorEastAsia" w:eastAsiaTheme="minorEastAsia"/>
          <w:szCs w:val="21"/>
        </w:rPr>
        <w:t>并在《成交通知书》、</w:t>
      </w:r>
      <w:r>
        <w:rPr>
          <w:rFonts w:hint="eastAsia" w:asciiTheme="minorEastAsia" w:hAnsiTheme="minorEastAsia" w:eastAsiaTheme="minorEastAsia"/>
          <w:szCs w:val="21"/>
          <w:lang w:eastAsia="zh-CN"/>
        </w:rPr>
        <w:t>《苏荷汇商务中心2幢租赁合同》</w:t>
      </w:r>
      <w:bookmarkStart w:id="0" w:name="_GoBack"/>
      <w:bookmarkEnd w:id="0"/>
      <w:r>
        <w:rPr>
          <w:rFonts w:hint="eastAsia" w:asciiTheme="minorEastAsia" w:hAnsiTheme="minorEastAsia" w:eastAsiaTheme="minorEastAsia"/>
          <w:szCs w:val="21"/>
        </w:rPr>
        <w:t>签署之日起</w:t>
      </w:r>
      <w:r>
        <w:rPr>
          <w:rFonts w:hint="eastAsia" w:asciiTheme="minorEastAsia" w:hAnsiTheme="minorEastAsia" w:eastAsiaTheme="minorEastAsia"/>
          <w:szCs w:val="21"/>
          <w:lang w:val="en-US" w:eastAsia="zh-CN"/>
        </w:rPr>
        <w:t>15日</w:t>
      </w:r>
      <w:r>
        <w:rPr>
          <w:rFonts w:hint="eastAsia" w:asciiTheme="minorEastAsia" w:hAnsiTheme="minorEastAsia" w:eastAsiaTheme="minorEastAsia"/>
          <w:szCs w:val="21"/>
        </w:rPr>
        <w:t>内向杭交所指定账户一次性支付交易服务费、履约保证金和首期租金等交易资金（以到账时间为准）。</w:t>
      </w:r>
    </w:p>
    <w:p>
      <w:pPr>
        <w:spacing w:line="360" w:lineRule="auto"/>
        <w:ind w:firstLine="420" w:firstLineChars="200"/>
        <w:rPr>
          <w:rFonts w:hint="eastAsia" w:ascii="宋体" w:hAnsi="宋体"/>
          <w:color w:val="000000"/>
          <w:sz w:val="20"/>
          <w:szCs w:val="20"/>
          <w:highlight w:val="none"/>
        </w:rPr>
      </w:pPr>
      <w:r>
        <w:rPr>
          <w:rFonts w:hint="eastAsia" w:asciiTheme="minorEastAsia" w:hAnsiTheme="minorEastAsia" w:eastAsiaTheme="minorEastAsia"/>
          <w:szCs w:val="21"/>
        </w:rPr>
        <w:t>4、若我方成为承租方，我方已知悉并同意：同意杭交所经出租方申请之日起3个工作日内将承租方已交纳的履约保证金、</w:t>
      </w:r>
      <w:r>
        <w:rPr>
          <w:rFonts w:hint="eastAsia" w:asciiTheme="minorEastAsia" w:hAnsiTheme="minorEastAsia" w:eastAsiaTheme="minorEastAsia"/>
          <w:szCs w:val="21"/>
          <w:lang w:val="en-US" w:eastAsia="zh-CN"/>
        </w:rPr>
        <w:t>首期租金</w:t>
      </w:r>
      <w:r>
        <w:rPr>
          <w:rFonts w:hint="eastAsia" w:asciiTheme="minorEastAsia" w:hAnsiTheme="minorEastAsia" w:eastAsiaTheme="minorEastAsia"/>
          <w:szCs w:val="21"/>
        </w:rPr>
        <w:t>全</w:t>
      </w:r>
      <w:r>
        <w:rPr>
          <w:rFonts w:hint="eastAsia" w:ascii="宋体" w:hAnsi="宋体"/>
          <w:color w:val="000000"/>
          <w:sz w:val="20"/>
          <w:szCs w:val="20"/>
          <w:highlight w:val="none"/>
        </w:rPr>
        <w:t>部划转至出租方指定账户。</w:t>
      </w:r>
    </w:p>
    <w:p>
      <w:pPr>
        <w:spacing w:line="336" w:lineRule="auto"/>
        <w:ind w:firstLine="420" w:firstLineChars="200"/>
        <w:rPr>
          <w:rFonts w:hint="eastAsia" w:ascii="宋体" w:hAnsi="宋体"/>
          <w:sz w:val="20"/>
          <w:szCs w:val="20"/>
          <w:highlight w:val="none"/>
        </w:rPr>
      </w:pPr>
      <w:r>
        <w:rPr>
          <w:rFonts w:asciiTheme="minorEastAsia" w:hAnsiTheme="minorEastAsia" w:eastAsiaTheme="minorEastAsia"/>
          <w:szCs w:val="21"/>
        </w:rPr>
        <w:t>5</w:t>
      </w:r>
      <w:r>
        <w:rPr>
          <w:rFonts w:hint="eastAsia" w:asciiTheme="minorEastAsia" w:hAnsiTheme="minorEastAsia" w:eastAsiaTheme="minorEastAsia"/>
          <w:szCs w:val="21"/>
        </w:rPr>
        <w:t>、若我方成为承租方，我方已知悉并同意：</w:t>
      </w:r>
      <w:r>
        <w:rPr>
          <w:rFonts w:hint="eastAsia" w:ascii="Times New Roman" w:hAnsi="Times New Roman" w:eastAsia="宋体" w:cs="Times New Roman"/>
        </w:rPr>
        <w:t>出租方对于租赁业态的要求仅系按照整体经营目标设定，不构成出租方对于满足该业态的任何实质或预期承诺。意向承租方须在承租前自行对租赁房屋进行全面了解，并对营业所需的各项审批条件和规定进行充分自核。意向承租方参与竞租的行为将被认为已作充分的预判和决策，无论因何种原因导致不能获得营业开设审批（包括房屋规划用途和房屋既有结构、设计等因素在内），或后续因为政策变化导致无法继续开设的各项经营风险，意向承租方承诺独立承担，出租方不对无法履行、投入成本、装修损失等承担任何形式的赔偿或补偿责任。</w:t>
      </w:r>
    </w:p>
    <w:p>
      <w:pPr>
        <w:spacing w:line="336"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6</w:t>
      </w:r>
      <w:r>
        <w:rPr>
          <w:rFonts w:hint="eastAsia" w:asciiTheme="minorEastAsia" w:hAnsiTheme="minorEastAsia" w:eastAsiaTheme="minorEastAsia"/>
          <w:szCs w:val="21"/>
        </w:rPr>
        <w:t>、若我方成为承租方，我方已知悉并同意：</w:t>
      </w:r>
      <w:r>
        <w:rPr>
          <w:rFonts w:hint="eastAsia" w:ascii="Times New Roman" w:hAnsi="Times New Roman" w:eastAsia="宋体" w:cs="Times New Roman"/>
        </w:rPr>
        <w:t>承租方在该租赁物业内开展及经营其业务前，应向政府主管部门取得所有必要的执照、批准或许可证等，自行办理相关的许可证及相关登记文件，承担由此产生的费用。承租方应确保该执照、批准或许可证在租赁期限内完全有效，及在各方面均符合该执照、批准或许可证的规定。承租方承诺对上述物业权证证载的地类用途和租赁物业现状、设施及物业环境有充分了解，承租方应确保该执照、批准或许可证在租赁期限内完全有效，及在各方面均符合该执照、批准或许可证的规定。并且，承租方在该租赁物业的经营活动不得违反有关的法律、法规，必须确保其经营的合法性，否则，承租方将承担因其不正当经营所造成的一切责任和后果。</w:t>
      </w:r>
    </w:p>
    <w:p>
      <w:pPr>
        <w:spacing w:line="336"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7</w:t>
      </w:r>
      <w:r>
        <w:rPr>
          <w:rFonts w:hint="eastAsia" w:asciiTheme="minorEastAsia" w:hAnsiTheme="minorEastAsia" w:eastAsiaTheme="minorEastAsia"/>
          <w:szCs w:val="21"/>
        </w:rPr>
        <w:t>、若我方成为承租方，我方已知悉并同意：</w:t>
      </w:r>
      <w:r>
        <w:rPr>
          <w:rFonts w:hint="eastAsia"/>
          <w:lang w:val="en-US" w:eastAsia="zh-CN"/>
        </w:rPr>
        <w:t>在租赁期内，不得将租赁房屋整体以任何形式向第三方转租、转让、转包、转借、交换承租权、抵押或设立其它负担，或与第三方合资、合作经营或由第三方进行承包经营。一旦发现上述行为，出租方有权解除合同，承租方应承担合同解除的违约责任。</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、若我方成为承租方，我方已知悉并同意：本次交易出租方与承租方的权利和义务以出租方提供的《苏荷汇商务中心2幢租赁合同》（样本）为准。</w:t>
      </w:r>
    </w:p>
    <w:p>
      <w:pPr>
        <w:spacing w:line="336"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若我方成为承租方，我方已知悉并同意：本项目成交后，承租方须按以下标准支付交易服务费：（1）本次交易有二个及以上意向承租方报名且成交的，承租方须缴纳按首年一个月租金计取的交易服务费；（2）本次交易只有一位意向承租方且成交的，承租方须缴纳按首年半个月租金计取的交易服务费。</w:t>
      </w:r>
    </w:p>
    <w:p>
      <w:pPr>
        <w:spacing w:line="336"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lang w:val="en-US" w:eastAsia="zh-CN"/>
        </w:rPr>
        <w:t>0</w:t>
      </w:r>
      <w:r>
        <w:rPr>
          <w:rFonts w:hint="eastAsia" w:asciiTheme="minorEastAsia" w:hAnsiTheme="minorEastAsia" w:eastAsiaTheme="minorEastAsia"/>
          <w:szCs w:val="21"/>
        </w:rPr>
        <w:t>、若非出租方原因，出现以下任一情况时，意向承租方交纳的保证金不予退还，先用于补偿杭交所、杭州企业产权交易中心有限公司的各项服务费，剩余部分作为对出租方的经济补偿金，保证金不足以补偿的，相关方有权按照实际损失继续追诉：</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（1）意向承租方提交承租申请材料并交纳交易保证金后单方撤回承租申请的；</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（3）在被确定为承租方后未按约定签署《成交通知书》、</w:t>
      </w:r>
      <w:r>
        <w:rPr>
          <w:rFonts w:hint="eastAsia" w:ascii="宋体" w:hAnsi="宋体"/>
          <w:color w:val="000000"/>
          <w:sz w:val="20"/>
          <w:szCs w:val="20"/>
          <w:highlight w:val="none"/>
          <w:lang w:eastAsia="zh-CN"/>
        </w:rPr>
        <w:t>《苏荷汇商务中心2幢租赁合同》</w:t>
      </w:r>
      <w:r>
        <w:rPr>
          <w:rFonts w:hint="eastAsia" w:asciiTheme="minorEastAsia" w:hAnsiTheme="minorEastAsia" w:eastAsiaTheme="minorEastAsia"/>
          <w:szCs w:val="21"/>
        </w:rPr>
        <w:t>的或未按约定支付交易服务费、履约保证金和首期租金的；</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（4）意向承租方未履行书面承诺事项的；</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7A10EC"/>
    <w:multiLevelType w:val="multilevel"/>
    <w:tmpl w:val="587A10EC"/>
    <w:lvl w:ilvl="0" w:tentative="0">
      <w:start w:val="1"/>
      <w:numFmt w:val="decimal"/>
      <w:lvlText w:val="%1"/>
      <w:lvlJc w:val="left"/>
      <w:pPr>
        <w:tabs>
          <w:tab w:val="left" w:pos="432"/>
        </w:tabs>
        <w:ind w:left="432" w:hanging="432"/>
      </w:pPr>
      <w:rPr>
        <w:rFonts w:hint="default"/>
      </w:rPr>
    </w:lvl>
    <w:lvl w:ilvl="1" w:tentative="0">
      <w:start w:val="1"/>
      <w:numFmt w:val="decimal"/>
      <w:lvlText w:val="%1.%2"/>
      <w:lvlJc w:val="left"/>
      <w:pPr>
        <w:tabs>
          <w:tab w:val="left" w:pos="756"/>
        </w:tabs>
        <w:ind w:left="756" w:hanging="576"/>
      </w:pPr>
      <w:rPr>
        <w:rFonts w:hint="default"/>
        <w:color w:val="auto"/>
      </w:rPr>
    </w:lvl>
    <w:lvl w:ilvl="2" w:tentative="0">
      <w:start w:val="1"/>
      <w:numFmt w:val="decimal"/>
      <w:pStyle w:val="2"/>
      <w:lvlText w:val="%1.%2.%3"/>
      <w:lvlJc w:val="left"/>
      <w:pPr>
        <w:tabs>
          <w:tab w:val="left" w:pos="720"/>
        </w:tabs>
        <w:ind w:left="720"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1D7A"/>
    <w:rsid w:val="0003337E"/>
    <w:rsid w:val="00036B50"/>
    <w:rsid w:val="000451DE"/>
    <w:rsid w:val="0005613E"/>
    <w:rsid w:val="00057099"/>
    <w:rsid w:val="00090A54"/>
    <w:rsid w:val="00096355"/>
    <w:rsid w:val="000B2C55"/>
    <w:rsid w:val="000D2A01"/>
    <w:rsid w:val="000E77EC"/>
    <w:rsid w:val="000F422A"/>
    <w:rsid w:val="00103830"/>
    <w:rsid w:val="00135261"/>
    <w:rsid w:val="00143D8A"/>
    <w:rsid w:val="001615F0"/>
    <w:rsid w:val="001853BE"/>
    <w:rsid w:val="0019572F"/>
    <w:rsid w:val="001A3C03"/>
    <w:rsid w:val="001B3FF4"/>
    <w:rsid w:val="0020310B"/>
    <w:rsid w:val="00210803"/>
    <w:rsid w:val="00215ECB"/>
    <w:rsid w:val="002278BB"/>
    <w:rsid w:val="002526A0"/>
    <w:rsid w:val="00255411"/>
    <w:rsid w:val="00272EE2"/>
    <w:rsid w:val="00274544"/>
    <w:rsid w:val="003165D3"/>
    <w:rsid w:val="003229C2"/>
    <w:rsid w:val="00324E9E"/>
    <w:rsid w:val="00343639"/>
    <w:rsid w:val="00356B1E"/>
    <w:rsid w:val="003A2F6F"/>
    <w:rsid w:val="003C07CD"/>
    <w:rsid w:val="003E079C"/>
    <w:rsid w:val="00413930"/>
    <w:rsid w:val="0042791F"/>
    <w:rsid w:val="00430675"/>
    <w:rsid w:val="00434300"/>
    <w:rsid w:val="00455D9B"/>
    <w:rsid w:val="00466542"/>
    <w:rsid w:val="004701CE"/>
    <w:rsid w:val="00473523"/>
    <w:rsid w:val="004763FE"/>
    <w:rsid w:val="0049186F"/>
    <w:rsid w:val="004C246D"/>
    <w:rsid w:val="004D1B74"/>
    <w:rsid w:val="004E1479"/>
    <w:rsid w:val="004E3107"/>
    <w:rsid w:val="004E38FA"/>
    <w:rsid w:val="004F3BEF"/>
    <w:rsid w:val="00503879"/>
    <w:rsid w:val="005367F3"/>
    <w:rsid w:val="00544F53"/>
    <w:rsid w:val="0055051A"/>
    <w:rsid w:val="00554BD8"/>
    <w:rsid w:val="00557E19"/>
    <w:rsid w:val="0056145E"/>
    <w:rsid w:val="005767C5"/>
    <w:rsid w:val="005C053B"/>
    <w:rsid w:val="005E6A17"/>
    <w:rsid w:val="005F613A"/>
    <w:rsid w:val="006063C3"/>
    <w:rsid w:val="00627BE3"/>
    <w:rsid w:val="00641516"/>
    <w:rsid w:val="0064408F"/>
    <w:rsid w:val="006507CA"/>
    <w:rsid w:val="00653B08"/>
    <w:rsid w:val="00662215"/>
    <w:rsid w:val="006711F7"/>
    <w:rsid w:val="006733A2"/>
    <w:rsid w:val="006954B9"/>
    <w:rsid w:val="006B740B"/>
    <w:rsid w:val="00735BDE"/>
    <w:rsid w:val="00736371"/>
    <w:rsid w:val="00737286"/>
    <w:rsid w:val="00761E6F"/>
    <w:rsid w:val="00773F46"/>
    <w:rsid w:val="007847DD"/>
    <w:rsid w:val="00790D21"/>
    <w:rsid w:val="007C602A"/>
    <w:rsid w:val="007E4EDD"/>
    <w:rsid w:val="0084282E"/>
    <w:rsid w:val="0087000D"/>
    <w:rsid w:val="0087169F"/>
    <w:rsid w:val="00884F8A"/>
    <w:rsid w:val="00892386"/>
    <w:rsid w:val="008A08B0"/>
    <w:rsid w:val="008A71B6"/>
    <w:rsid w:val="008C0530"/>
    <w:rsid w:val="008D41B2"/>
    <w:rsid w:val="008D72E8"/>
    <w:rsid w:val="008F7C25"/>
    <w:rsid w:val="00906FAC"/>
    <w:rsid w:val="0093437E"/>
    <w:rsid w:val="00934A3A"/>
    <w:rsid w:val="0096235F"/>
    <w:rsid w:val="009733B3"/>
    <w:rsid w:val="009B0F56"/>
    <w:rsid w:val="009B10A4"/>
    <w:rsid w:val="009D1957"/>
    <w:rsid w:val="009E1269"/>
    <w:rsid w:val="009F646A"/>
    <w:rsid w:val="00A11F15"/>
    <w:rsid w:val="00A16016"/>
    <w:rsid w:val="00A165E7"/>
    <w:rsid w:val="00A24DD0"/>
    <w:rsid w:val="00A53E81"/>
    <w:rsid w:val="00A6470A"/>
    <w:rsid w:val="00A96775"/>
    <w:rsid w:val="00AA4243"/>
    <w:rsid w:val="00AA5407"/>
    <w:rsid w:val="00AC5AAD"/>
    <w:rsid w:val="00AE01F9"/>
    <w:rsid w:val="00AE275A"/>
    <w:rsid w:val="00AF7180"/>
    <w:rsid w:val="00B15A11"/>
    <w:rsid w:val="00B170BB"/>
    <w:rsid w:val="00B35714"/>
    <w:rsid w:val="00B36433"/>
    <w:rsid w:val="00B81419"/>
    <w:rsid w:val="00B91182"/>
    <w:rsid w:val="00B923AA"/>
    <w:rsid w:val="00BA1B3B"/>
    <w:rsid w:val="00BB7877"/>
    <w:rsid w:val="00BC1FC6"/>
    <w:rsid w:val="00BD265F"/>
    <w:rsid w:val="00BD2687"/>
    <w:rsid w:val="00BD2FD0"/>
    <w:rsid w:val="00BD6679"/>
    <w:rsid w:val="00BF1150"/>
    <w:rsid w:val="00C02F3D"/>
    <w:rsid w:val="00C06575"/>
    <w:rsid w:val="00C07B7D"/>
    <w:rsid w:val="00C2125E"/>
    <w:rsid w:val="00C300A5"/>
    <w:rsid w:val="00C80243"/>
    <w:rsid w:val="00C85BC7"/>
    <w:rsid w:val="00CA2A1E"/>
    <w:rsid w:val="00CB4AD7"/>
    <w:rsid w:val="00CB5B8C"/>
    <w:rsid w:val="00CF638F"/>
    <w:rsid w:val="00D56D57"/>
    <w:rsid w:val="00D74127"/>
    <w:rsid w:val="00D91E99"/>
    <w:rsid w:val="00D923A3"/>
    <w:rsid w:val="00D9451C"/>
    <w:rsid w:val="00DA3FB7"/>
    <w:rsid w:val="00DA41FC"/>
    <w:rsid w:val="00DA4C33"/>
    <w:rsid w:val="00DC5B10"/>
    <w:rsid w:val="00DF39B9"/>
    <w:rsid w:val="00E00E55"/>
    <w:rsid w:val="00E1141E"/>
    <w:rsid w:val="00E514FF"/>
    <w:rsid w:val="00E60BD5"/>
    <w:rsid w:val="00EB2A88"/>
    <w:rsid w:val="00EB51E9"/>
    <w:rsid w:val="00EB68B1"/>
    <w:rsid w:val="00EC6A03"/>
    <w:rsid w:val="00EC7352"/>
    <w:rsid w:val="00ED4E9F"/>
    <w:rsid w:val="00ED754C"/>
    <w:rsid w:val="00EF62AF"/>
    <w:rsid w:val="00F06BEC"/>
    <w:rsid w:val="00F33197"/>
    <w:rsid w:val="00F34AFD"/>
    <w:rsid w:val="00F47654"/>
    <w:rsid w:val="00F6123F"/>
    <w:rsid w:val="00F63294"/>
    <w:rsid w:val="00F73915"/>
    <w:rsid w:val="00F9525F"/>
    <w:rsid w:val="00F9594B"/>
    <w:rsid w:val="00FA0343"/>
    <w:rsid w:val="00FA6AB7"/>
    <w:rsid w:val="00FD24CB"/>
    <w:rsid w:val="00FE2F3B"/>
    <w:rsid w:val="00FF2FAD"/>
    <w:rsid w:val="00FF32D4"/>
    <w:rsid w:val="04A262E9"/>
    <w:rsid w:val="061C73F5"/>
    <w:rsid w:val="07D87335"/>
    <w:rsid w:val="09CB60AF"/>
    <w:rsid w:val="0A25564B"/>
    <w:rsid w:val="0AA1739C"/>
    <w:rsid w:val="0ED418D7"/>
    <w:rsid w:val="0FEC78F6"/>
    <w:rsid w:val="117612B0"/>
    <w:rsid w:val="13B849C4"/>
    <w:rsid w:val="14C2507C"/>
    <w:rsid w:val="16BD1BA6"/>
    <w:rsid w:val="174D738C"/>
    <w:rsid w:val="19B122C7"/>
    <w:rsid w:val="19B324A8"/>
    <w:rsid w:val="19CF393C"/>
    <w:rsid w:val="1A1F14AF"/>
    <w:rsid w:val="1BBB70AD"/>
    <w:rsid w:val="1BF1544B"/>
    <w:rsid w:val="1E14735D"/>
    <w:rsid w:val="1EFA488D"/>
    <w:rsid w:val="1F072A94"/>
    <w:rsid w:val="1F843BB4"/>
    <w:rsid w:val="1FB34EAE"/>
    <w:rsid w:val="1FE75D9F"/>
    <w:rsid w:val="208A7B37"/>
    <w:rsid w:val="20C11717"/>
    <w:rsid w:val="23201829"/>
    <w:rsid w:val="25526291"/>
    <w:rsid w:val="25B34C3E"/>
    <w:rsid w:val="2731534B"/>
    <w:rsid w:val="279515A0"/>
    <w:rsid w:val="28CD421D"/>
    <w:rsid w:val="29064147"/>
    <w:rsid w:val="2B224A23"/>
    <w:rsid w:val="2BD51F6B"/>
    <w:rsid w:val="2BEE0A70"/>
    <w:rsid w:val="2DE64B98"/>
    <w:rsid w:val="2E6953D9"/>
    <w:rsid w:val="332613DB"/>
    <w:rsid w:val="3480309A"/>
    <w:rsid w:val="35202E1B"/>
    <w:rsid w:val="382052E5"/>
    <w:rsid w:val="3AD83A40"/>
    <w:rsid w:val="3C2C4C6F"/>
    <w:rsid w:val="3C5A318A"/>
    <w:rsid w:val="3C940D63"/>
    <w:rsid w:val="3D4E2474"/>
    <w:rsid w:val="3EBF19DA"/>
    <w:rsid w:val="3F403481"/>
    <w:rsid w:val="414F3988"/>
    <w:rsid w:val="457753E3"/>
    <w:rsid w:val="45F94112"/>
    <w:rsid w:val="494F753A"/>
    <w:rsid w:val="4AFF3DA7"/>
    <w:rsid w:val="4CC66179"/>
    <w:rsid w:val="4E0013D2"/>
    <w:rsid w:val="51317EBA"/>
    <w:rsid w:val="52C93621"/>
    <w:rsid w:val="54E742B4"/>
    <w:rsid w:val="55F6694A"/>
    <w:rsid w:val="563F5F26"/>
    <w:rsid w:val="5687200B"/>
    <w:rsid w:val="56EE2F1F"/>
    <w:rsid w:val="573F5BDF"/>
    <w:rsid w:val="584668FF"/>
    <w:rsid w:val="590122F3"/>
    <w:rsid w:val="5A0A51C8"/>
    <w:rsid w:val="5DB959AE"/>
    <w:rsid w:val="5E0F1804"/>
    <w:rsid w:val="60124682"/>
    <w:rsid w:val="605F317E"/>
    <w:rsid w:val="606A72C7"/>
    <w:rsid w:val="633A51EB"/>
    <w:rsid w:val="657C12B1"/>
    <w:rsid w:val="66AB1603"/>
    <w:rsid w:val="66F30663"/>
    <w:rsid w:val="68026233"/>
    <w:rsid w:val="6804343D"/>
    <w:rsid w:val="68FE0BB2"/>
    <w:rsid w:val="6A2F474B"/>
    <w:rsid w:val="6D1B0EA5"/>
    <w:rsid w:val="6D511A93"/>
    <w:rsid w:val="6F3E2F3A"/>
    <w:rsid w:val="6FA55374"/>
    <w:rsid w:val="71711121"/>
    <w:rsid w:val="71814B45"/>
    <w:rsid w:val="71933AE8"/>
    <w:rsid w:val="736C7394"/>
    <w:rsid w:val="73B45BA4"/>
    <w:rsid w:val="78A15C46"/>
    <w:rsid w:val="7D1C5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0"/>
    <w:pPr>
      <w:keepNext/>
      <w:numPr>
        <w:ilvl w:val="2"/>
        <w:numId w:val="1"/>
      </w:numPr>
      <w:spacing w:before="240" w:after="60"/>
      <w:outlineLvl w:val="2"/>
    </w:pPr>
    <w:rPr>
      <w:rFonts w:ascii="Arial" w:hAnsi="Arial" w:cs="Arial"/>
      <w:b/>
      <w:bCs/>
      <w:sz w:val="26"/>
      <w:szCs w:val="2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qFormat/>
    <w:uiPriority w:val="99"/>
    <w:pPr>
      <w:ind w:firstLine="420" w:firstLineChars="200"/>
    </w:pPr>
  </w:style>
  <w:style w:type="paragraph" w:styleId="4">
    <w:name w:val="footer"/>
    <w:basedOn w:val="1"/>
    <w:link w:val="17"/>
    <w:unhideWhenUsed/>
    <w:qFormat/>
    <w:uiPriority w:val="99"/>
    <w:pPr>
      <w:tabs>
        <w:tab w:val="center" w:pos="4153"/>
        <w:tab w:val="right" w:pos="8306"/>
      </w:tabs>
      <w:snapToGrid w:val="0"/>
      <w:jc w:val="left"/>
    </w:pPr>
    <w:rPr>
      <w:sz w:val="18"/>
      <w:szCs w:val="18"/>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9">
    <w:name w:val="Strong"/>
    <w:basedOn w:val="8"/>
    <w:qFormat/>
    <w:uiPriority w:val="22"/>
    <w:rPr>
      <w:b/>
    </w:rPr>
  </w:style>
  <w:style w:type="character" w:styleId="10">
    <w:name w:val="FollowedHyperlink"/>
    <w:basedOn w:val="8"/>
    <w:semiHidden/>
    <w:unhideWhenUsed/>
    <w:qFormat/>
    <w:uiPriority w:val="99"/>
    <w:rPr>
      <w:color w:val="57BBE9"/>
      <w:u w:val="none"/>
    </w:rPr>
  </w:style>
  <w:style w:type="character" w:styleId="11">
    <w:name w:val="HTML Definition"/>
    <w:basedOn w:val="8"/>
    <w:semiHidden/>
    <w:unhideWhenUsed/>
    <w:qFormat/>
    <w:uiPriority w:val="99"/>
    <w:rPr>
      <w:i/>
    </w:rPr>
  </w:style>
  <w:style w:type="character" w:styleId="12">
    <w:name w:val="Hyperlink"/>
    <w:basedOn w:val="8"/>
    <w:semiHidden/>
    <w:unhideWhenUsed/>
    <w:qFormat/>
    <w:uiPriority w:val="99"/>
    <w:rPr>
      <w:color w:val="57BBE9"/>
      <w:u w:val="none"/>
    </w:rPr>
  </w:style>
  <w:style w:type="character" w:styleId="13">
    <w:name w:val="HTML Code"/>
    <w:basedOn w:val="8"/>
    <w:semiHidden/>
    <w:unhideWhenUsed/>
    <w:qFormat/>
    <w:uiPriority w:val="99"/>
    <w:rPr>
      <w:rFonts w:hint="default" w:ascii="monospace" w:hAnsi="monospace" w:eastAsia="monospace" w:cs="monospace"/>
      <w:sz w:val="21"/>
      <w:szCs w:val="21"/>
    </w:rPr>
  </w:style>
  <w:style w:type="character" w:styleId="14">
    <w:name w:val="HTML Keyboard"/>
    <w:basedOn w:val="8"/>
    <w:semiHidden/>
    <w:unhideWhenUsed/>
    <w:qFormat/>
    <w:uiPriority w:val="99"/>
    <w:rPr>
      <w:rFonts w:ascii="monospace" w:hAnsi="monospace" w:eastAsia="monospace" w:cs="monospace"/>
      <w:sz w:val="21"/>
      <w:szCs w:val="21"/>
    </w:rPr>
  </w:style>
  <w:style w:type="character" w:styleId="15">
    <w:name w:val="HTML Sample"/>
    <w:basedOn w:val="8"/>
    <w:semiHidden/>
    <w:unhideWhenUsed/>
    <w:qFormat/>
    <w:uiPriority w:val="99"/>
    <w:rPr>
      <w:rFonts w:hint="default" w:ascii="monospace" w:hAnsi="monospace" w:eastAsia="monospace" w:cs="monospace"/>
      <w:sz w:val="21"/>
      <w:szCs w:val="21"/>
    </w:rPr>
  </w:style>
  <w:style w:type="character" w:customStyle="1" w:styleId="16">
    <w:name w:val="页眉 字符"/>
    <w:basedOn w:val="8"/>
    <w:link w:val="5"/>
    <w:qFormat/>
    <w:uiPriority w:val="99"/>
    <w:rPr>
      <w:rFonts w:ascii="Times New Roman" w:hAnsi="Times New Roman" w:eastAsia="宋体" w:cs="Times New Roman"/>
      <w:sz w:val="18"/>
      <w:szCs w:val="18"/>
    </w:rPr>
  </w:style>
  <w:style w:type="character" w:customStyle="1" w:styleId="17">
    <w:name w:val="页脚 字符"/>
    <w:basedOn w:val="8"/>
    <w:link w:val="4"/>
    <w:qFormat/>
    <w:uiPriority w:val="99"/>
    <w:rPr>
      <w:rFonts w:ascii="Times New Roman" w:hAnsi="Times New Roman" w:eastAsia="宋体" w:cs="Times New Roman"/>
      <w:sz w:val="18"/>
      <w:szCs w:val="18"/>
    </w:rPr>
  </w:style>
  <w:style w:type="paragraph" w:styleId="18">
    <w:name w:val="List Paragraph"/>
    <w:basedOn w:val="1"/>
    <w:qFormat/>
    <w:uiPriority w:val="34"/>
    <w:pPr>
      <w:ind w:firstLine="420" w:firstLineChars="200"/>
    </w:pPr>
  </w:style>
  <w:style w:type="character" w:customStyle="1" w:styleId="19">
    <w:name w:val="not([class*=suffix])"/>
    <w:basedOn w:val="8"/>
    <w:qFormat/>
    <w:uiPriority w:val="0"/>
    <w:rPr>
      <w:sz w:val="19"/>
      <w:szCs w:val="19"/>
    </w:rPr>
  </w:style>
  <w:style w:type="character" w:customStyle="1" w:styleId="20">
    <w:name w:val="not([class*=suffix])1"/>
    <w:basedOn w:val="8"/>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244</Words>
  <Characters>1394</Characters>
  <Lines>11</Lines>
  <Paragraphs>3</Paragraphs>
  <TotalTime>0</TotalTime>
  <ScaleCrop>false</ScaleCrop>
  <LinksUpToDate>false</LinksUpToDate>
  <CharactersWithSpaces>1635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2022-01-07T06:20:00Z</dcterms:created>
  <dc:creator>zxy</dc:creator>
  <cp:lastModifiedBy>王际超</cp:lastModifiedBy>
  <cp:lastPrinted>2021-08-03T03:13:00Z</cp:lastPrinted>
  <dcterms:modified xsi:type="dcterms:W3CDTF">2025-04-21T09:30:48Z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7DFB6F77F7A2491E99123FC5F42C5B2B</vt:lpwstr>
  </property>
</Properties>
</file>