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1"/>
      <w:bookmarkStart w:id="1" w:name="OLE_LINK19"/>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w:t>
      </w:r>
      <w:bookmarkStart w:id="2" w:name="OLE_LINK2"/>
      <w:r>
        <w:rPr>
          <w:rFonts w:hint="eastAsia" w:ascii="宋体" w:hAnsi="宋体"/>
          <w:szCs w:val="24"/>
          <w:lang w:val="en-US" w:eastAsia="zh-CN"/>
        </w:rPr>
        <w:t>文一路447号房屋</w:t>
      </w:r>
      <w:bookmarkEnd w:id="2"/>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5年租赁权</w:t>
      </w:r>
      <w:bookmarkEnd w:id="0"/>
      <w:bookmarkEnd w:id="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同意在被确定为承租方之日起3个工作日内携带报名时上传的主体资格证明等相关文件原件至杭交所完成现场确认和签署《成交通知书》、《房屋租赁合同》等合同文件；并在《成交通知书》、《房屋租赁合同》等合同文件签署之日起5个工作日内向杭交所指定账户一次性支付首期租金、交易服务费、履约保证金、装修保证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20000元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））等交易资金（以到账时间为准）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根据房屋房屋所有权证载明，设计用途为非住宅，如因租赁物业证载的设计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租赁房屋内不得生产、储存、经营易燃易爆和有害有毒危险品，不得出现违规使用电气、燃气设备或擅自改变租赁物业安全结构、设备等重大安全隐患行为。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、若我方成为承租方，我方已知悉并同意：本次租赁房屋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的交付及</w:t>
      </w:r>
      <w:bookmarkStart w:id="3" w:name="_GoBack"/>
      <w:bookmarkEnd w:id="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CBF37C0"/>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673ED8"/>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2025-04-18T02:23:02Z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