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杭州鸟山熊文化创意有限公司债权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2、我方提交受让申请</w:t>
      </w:r>
      <w:r>
        <w:rPr>
          <w:rFonts w:hint="eastAsia" w:cs="Times New Roman" w:asciiTheme="minorEastAsia" w:hAnsiTheme="minorEastAsia" w:eastAsiaTheme="minorEastAsia"/>
          <w:sz w:val="21"/>
          <w:szCs w:val="21"/>
          <w:highlight w:val="none"/>
          <w:lang w:val="en-US" w:eastAsia="zh-CN"/>
        </w:rPr>
        <w:t>材料</w:t>
      </w:r>
      <w:r>
        <w:rPr>
          <w:rFonts w:hint="eastAsia" w:cs="Times New Roman" w:asciiTheme="minorEastAsia" w:hAnsiTheme="minorEastAsia" w:eastAsiaTheme="minorEastAsia"/>
          <w:sz w:val="21"/>
          <w:szCs w:val="21"/>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3、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在被确定为受让方之日起2个工作日内，携带受让申请材料原件到杭交所完成现场确认并签署《成交通知书》、交易记录及相关文件，《成交通知书》签署当日，受让方交纳的交易保证金转为交易价款。</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5、我方同意按照转让方要求3个工作日内，自行与转让方完成确认和签署《债权转让协议》。</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8、同意对拟受让债权（包括所涉的诉讼、执行等情况）进行了充分的调查与了解，并对拟受让债权的保证情况均做了充分了解并知情，愿意按现状受让该债权，知悉并接受所有可能的瑕疵、风险。</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9、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10</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12、</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B43075A"/>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1B73F72"/>
    <w:rsid w:val="32087C04"/>
    <w:rsid w:val="32FB67E2"/>
    <w:rsid w:val="348A4BC2"/>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C1C6969"/>
    <w:rsid w:val="4D5779D6"/>
    <w:rsid w:val="4DE741D0"/>
    <w:rsid w:val="508852FA"/>
    <w:rsid w:val="50CB2850"/>
    <w:rsid w:val="5187378F"/>
    <w:rsid w:val="53AC337D"/>
    <w:rsid w:val="57D5018C"/>
    <w:rsid w:val="585B5B75"/>
    <w:rsid w:val="58A0138A"/>
    <w:rsid w:val="599A5F61"/>
    <w:rsid w:val="5A7D1B2E"/>
    <w:rsid w:val="5B7B2FC6"/>
    <w:rsid w:val="5B881788"/>
    <w:rsid w:val="5D0F752C"/>
    <w:rsid w:val="5E012EA3"/>
    <w:rsid w:val="6256136A"/>
    <w:rsid w:val="63C12C87"/>
    <w:rsid w:val="64FD58B4"/>
    <w:rsid w:val="65D17423"/>
    <w:rsid w:val="67AB4358"/>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8</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2025-04-09T05:57:54Z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