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28"/>
          <w:szCs w:val="28"/>
        </w:rPr>
      </w:pPr>
      <w:r>
        <w:rPr>
          <w:rFonts w:hint="eastAsia" w:ascii="黑体" w:hAnsi="黑体" w:eastAsia="黑体"/>
          <w:b/>
          <w:sz w:val="28"/>
          <w:szCs w:val="28"/>
        </w:rPr>
        <w:t>承诺函</w:t>
      </w:r>
    </w:p>
    <w:p>
      <w:pPr>
        <w:spacing w:line="360" w:lineRule="auto"/>
        <w:rPr>
          <w:rFonts w:asciiTheme="minorEastAsia" w:hAnsiTheme="minorEastAsia" w:eastAsiaTheme="minorEastAsia"/>
          <w:sz w:val="18"/>
          <w:szCs w:val="18"/>
        </w:rPr>
      </w:pPr>
      <w:r>
        <w:rPr>
          <w:rFonts w:hint="eastAsia" w:asciiTheme="minorEastAsia" w:hAnsiTheme="minorEastAsia" w:eastAsiaTheme="minorEastAsia"/>
          <w:sz w:val="18"/>
          <w:szCs w:val="18"/>
        </w:rPr>
        <w:t>杭州</w:t>
      </w:r>
      <w:r>
        <w:rPr>
          <w:rFonts w:asciiTheme="minorEastAsia" w:hAnsiTheme="minorEastAsia" w:eastAsiaTheme="minorEastAsia"/>
          <w:sz w:val="18"/>
          <w:szCs w:val="18"/>
        </w:rPr>
        <w:t>产权交易所</w:t>
      </w:r>
      <w:r>
        <w:rPr>
          <w:rFonts w:hint="eastAsia" w:asciiTheme="minorEastAsia" w:hAnsiTheme="minorEastAsia" w:eastAsiaTheme="minorEastAsia"/>
          <w:sz w:val="18"/>
          <w:szCs w:val="18"/>
        </w:rPr>
        <w:t>有限责任公司</w:t>
      </w:r>
      <w:r>
        <w:rPr>
          <w:rFonts w:asciiTheme="minorEastAsia" w:hAnsiTheme="minorEastAsia" w:eastAsiaTheme="minorEastAsia"/>
          <w:sz w:val="18"/>
          <w:szCs w:val="18"/>
        </w:rPr>
        <w:t>：</w:t>
      </w:r>
    </w:p>
    <w:p>
      <w:pPr>
        <w:spacing w:line="360" w:lineRule="auto"/>
        <w:ind w:firstLine="360" w:firstLineChars="200"/>
        <w:rPr>
          <w:rFonts w:asciiTheme="minorEastAsia" w:hAnsiTheme="minorEastAsia" w:eastAsiaTheme="minorEastAsia"/>
          <w:sz w:val="18"/>
          <w:szCs w:val="18"/>
          <w:u w:val="none"/>
        </w:rPr>
      </w:pPr>
      <w:r>
        <w:rPr>
          <w:rFonts w:hint="eastAsia" w:asciiTheme="minorEastAsia" w:hAnsiTheme="minorEastAsia" w:eastAsiaTheme="minorEastAsia"/>
          <w:sz w:val="18"/>
          <w:szCs w:val="18"/>
        </w:rPr>
        <w:t>我方拟</w:t>
      </w:r>
      <w:r>
        <w:rPr>
          <w:rFonts w:asciiTheme="minorEastAsia" w:hAnsiTheme="minorEastAsia" w:eastAsiaTheme="minorEastAsia"/>
          <w:sz w:val="18"/>
          <w:szCs w:val="18"/>
        </w:rPr>
        <w:t>受让</w:t>
      </w:r>
      <w:r>
        <w:rPr>
          <w:rFonts w:hint="eastAsia" w:asciiTheme="minorEastAsia" w:hAnsiTheme="minorEastAsia" w:eastAsiaTheme="minorEastAsia"/>
          <w:sz w:val="18"/>
          <w:szCs w:val="18"/>
        </w:rPr>
        <w:t>杭州市滨江区荟鼎智创中心（第一工业综合体）8幢2、3层不动产及地下30个机动车位使用权</w:t>
      </w:r>
      <w:r>
        <w:rPr>
          <w:rFonts w:hint="eastAsia" w:asciiTheme="minorEastAsia" w:hAnsiTheme="minorEastAsia" w:eastAsiaTheme="minorEastAsia"/>
          <w:sz w:val="18"/>
          <w:szCs w:val="18"/>
          <w:lang w:val="en-US" w:eastAsia="zh-CN"/>
        </w:rPr>
        <w:t>项目</w:t>
      </w:r>
      <w:r>
        <w:rPr>
          <w:rFonts w:hint="eastAsia" w:asciiTheme="minorEastAsia" w:hAnsiTheme="minorEastAsia" w:eastAsiaTheme="minorEastAsia"/>
          <w:sz w:val="18"/>
          <w:szCs w:val="18"/>
          <w:u w:val="none"/>
        </w:rPr>
        <w:t>，现做</w:t>
      </w:r>
      <w:r>
        <w:rPr>
          <w:rFonts w:asciiTheme="minorEastAsia" w:hAnsiTheme="minorEastAsia" w:eastAsiaTheme="minorEastAsia"/>
          <w:sz w:val="18"/>
          <w:szCs w:val="18"/>
          <w:u w:val="none"/>
        </w:rPr>
        <w:t>如下承诺：</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u w:val="none"/>
        </w:rPr>
        <w:t>1、我方已认真阅读、知悉并自愿遵守</w:t>
      </w:r>
      <w:r>
        <w:rPr>
          <w:rFonts w:hint="eastAsia" w:asciiTheme="minorEastAsia" w:hAnsiTheme="minorEastAsia" w:eastAsiaTheme="minorEastAsia" w:cstheme="minorEastAsia"/>
          <w:sz w:val="18"/>
          <w:szCs w:val="18"/>
          <w:highlight w:val="none"/>
          <w:u w:val="none"/>
          <w:lang w:val="en-US" w:eastAsia="zh-CN"/>
        </w:rPr>
        <w:t>杭州产权交易所《国有资产转让交易规则》</w:t>
      </w:r>
      <w:r>
        <w:rPr>
          <w:rFonts w:hint="eastAsia" w:asciiTheme="minorEastAsia" w:hAnsiTheme="minorEastAsia" w:eastAsiaTheme="minorEastAsia" w:cstheme="minorEastAsia"/>
          <w:sz w:val="18"/>
          <w:szCs w:val="18"/>
          <w:highlight w:val="none"/>
          <w:u w:val="none"/>
        </w:rPr>
        <w:t>、《</w:t>
      </w:r>
      <w:r>
        <w:rPr>
          <w:rFonts w:hint="eastAsia" w:asciiTheme="minorEastAsia" w:hAnsiTheme="minorEastAsia" w:eastAsiaTheme="minorEastAsia" w:cstheme="minorEastAsia"/>
          <w:sz w:val="18"/>
          <w:szCs w:val="18"/>
          <w:highlight w:val="none"/>
          <w:u w:val="none"/>
          <w:lang w:val="en-US" w:eastAsia="zh-CN"/>
        </w:rPr>
        <w:t>在线报价实施办法</w:t>
      </w:r>
      <w:r>
        <w:rPr>
          <w:rFonts w:hint="eastAsia" w:asciiTheme="minorEastAsia" w:hAnsiTheme="minorEastAsia" w:eastAsiaTheme="minorEastAsia" w:cstheme="minorEastAsia"/>
          <w:sz w:val="18"/>
          <w:szCs w:val="18"/>
          <w:highlight w:val="none"/>
          <w:u w:val="none"/>
        </w:rPr>
        <w:t>》和</w:t>
      </w:r>
      <w:r>
        <w:rPr>
          <w:rFonts w:hint="eastAsia" w:asciiTheme="minorEastAsia" w:hAnsiTheme="minorEastAsia" w:eastAsiaTheme="minorEastAsia" w:cstheme="minorEastAsia"/>
          <w:sz w:val="18"/>
          <w:szCs w:val="18"/>
          <w:highlight w:val="none"/>
          <w:u w:val="none"/>
          <w:lang w:eastAsia="zh-CN"/>
        </w:rPr>
        <w:t>《</w:t>
      </w:r>
      <w:r>
        <w:rPr>
          <w:rFonts w:hint="eastAsia" w:asciiTheme="minorEastAsia" w:hAnsiTheme="minorEastAsia" w:eastAsiaTheme="minorEastAsia" w:cstheme="minorEastAsia"/>
          <w:sz w:val="18"/>
          <w:szCs w:val="18"/>
          <w:highlight w:val="none"/>
          <w:u w:val="none"/>
          <w:lang w:val="en-US" w:eastAsia="zh-CN"/>
        </w:rPr>
        <w:t>在线报价交易须知</w:t>
      </w:r>
      <w:r>
        <w:rPr>
          <w:rFonts w:hint="eastAsia" w:asciiTheme="minorEastAsia" w:hAnsiTheme="minorEastAsia" w:eastAsiaTheme="minorEastAsia" w:cstheme="minorEastAsia"/>
          <w:sz w:val="18"/>
          <w:szCs w:val="18"/>
          <w:highlight w:val="none"/>
          <w:u w:val="none"/>
          <w:lang w:eastAsia="zh-CN"/>
        </w:rPr>
        <w:t>》</w:t>
      </w:r>
      <w:r>
        <w:rPr>
          <w:rFonts w:hint="eastAsia" w:asciiTheme="minorEastAsia" w:hAnsiTheme="minorEastAsia" w:eastAsiaTheme="minorEastAsia" w:cstheme="minorEastAsia"/>
          <w:sz w:val="18"/>
          <w:szCs w:val="18"/>
          <w:highlight w:val="none"/>
          <w:u w:val="none"/>
        </w:rPr>
        <w:t>等文件的</w:t>
      </w:r>
      <w:r>
        <w:rPr>
          <w:rFonts w:hint="eastAsia" w:asciiTheme="minorEastAsia" w:hAnsiTheme="minorEastAsia" w:eastAsiaTheme="minorEastAsia" w:cstheme="minorEastAsia"/>
          <w:sz w:val="18"/>
          <w:szCs w:val="18"/>
          <w:highlight w:val="none"/>
        </w:rPr>
        <w:t>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440" w:lineRule="exact"/>
        <w:ind w:firstLine="360" w:firstLineChars="200"/>
        <w:jc w:val="left"/>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sz w:val="18"/>
          <w:szCs w:val="18"/>
          <w:highlight w:val="none"/>
        </w:rPr>
        <w:t>2、我方</w:t>
      </w:r>
      <w:r>
        <w:rPr>
          <w:rFonts w:hint="eastAsia" w:asciiTheme="minorEastAsia" w:hAnsiTheme="minorEastAsia"/>
          <w:sz w:val="18"/>
          <w:szCs w:val="18"/>
          <w:highlight w:val="none"/>
        </w:rPr>
        <w:t>提交</w:t>
      </w:r>
      <w:r>
        <w:rPr>
          <w:rFonts w:asciiTheme="minorEastAsia" w:hAnsiTheme="minorEastAsia"/>
          <w:sz w:val="18"/>
          <w:szCs w:val="18"/>
          <w:highlight w:val="none"/>
          <w:u w:val="none"/>
        </w:rPr>
        <w:t>受让</w:t>
      </w:r>
      <w:r>
        <w:rPr>
          <w:rFonts w:asciiTheme="minorEastAsia" w:hAnsiTheme="minorEastAsia"/>
          <w:sz w:val="18"/>
          <w:szCs w:val="18"/>
          <w:highlight w:val="none"/>
        </w:rPr>
        <w:t>申请</w:t>
      </w:r>
      <w:r>
        <w:rPr>
          <w:rFonts w:hint="eastAsia" w:asciiTheme="minorEastAsia" w:hAnsiTheme="minorEastAsia"/>
          <w:sz w:val="18"/>
          <w:szCs w:val="18"/>
          <w:highlight w:val="none"/>
          <w:lang w:val="en-US" w:eastAsia="zh-CN"/>
        </w:rPr>
        <w:t>材料</w:t>
      </w:r>
      <w:r>
        <w:rPr>
          <w:rFonts w:asciiTheme="minorEastAsia" w:hAnsiTheme="minorEastAsia"/>
          <w:sz w:val="18"/>
          <w:szCs w:val="18"/>
          <w:highlight w:val="none"/>
        </w:rPr>
        <w:t>并且</w:t>
      </w:r>
      <w:r>
        <w:rPr>
          <w:rFonts w:hint="eastAsia" w:asciiTheme="minorEastAsia" w:hAnsiTheme="minorEastAsia"/>
          <w:sz w:val="18"/>
          <w:szCs w:val="18"/>
          <w:highlight w:val="none"/>
        </w:rPr>
        <w:t>交纳交易</w:t>
      </w:r>
      <w:r>
        <w:rPr>
          <w:rFonts w:asciiTheme="minorEastAsia" w:hAnsiTheme="minorEastAsia"/>
          <w:sz w:val="18"/>
          <w:szCs w:val="18"/>
          <w:highlight w:val="none"/>
        </w:rPr>
        <w:t>保证金后，即视为已详细阅读并完全认可本项</w:t>
      </w:r>
      <w:r>
        <w:rPr>
          <w:rFonts w:hint="eastAsia" w:asciiTheme="minorEastAsia" w:hAnsiTheme="minorEastAsia" w:eastAsiaTheme="minorEastAsia" w:cstheme="minorEastAsia"/>
          <w:sz w:val="18"/>
          <w:szCs w:val="18"/>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3、同意在被确定为受让方之日起</w:t>
      </w:r>
      <w:r>
        <w:rPr>
          <w:rFonts w:hint="eastAsia" w:asciiTheme="minorEastAsia" w:hAnsiTheme="minorEastAsia" w:eastAsiaTheme="minorEastAsia" w:cstheme="minorEastAsia"/>
          <w:sz w:val="18"/>
          <w:szCs w:val="18"/>
          <w:highlight w:val="none"/>
          <w:lang w:val="en-US" w:eastAsia="zh-CN"/>
        </w:rPr>
        <w:t>5</w:t>
      </w:r>
      <w:bookmarkStart w:id="0" w:name="_GoBack"/>
      <w:bookmarkEnd w:id="0"/>
      <w:r>
        <w:rPr>
          <w:rFonts w:hint="eastAsia" w:asciiTheme="minorEastAsia" w:hAnsiTheme="minorEastAsia" w:eastAsiaTheme="minorEastAsia" w:cstheme="minorEastAsia"/>
          <w:sz w:val="18"/>
          <w:szCs w:val="18"/>
          <w:highlight w:val="none"/>
        </w:rPr>
        <w:t>个工作日内携带报名时上传的主体资格证明等相关文件至杭交所完成现场确认和签署《成交通知书》、《资产交易合同》，并在《成交通知书》、《资产交易合同》签署之日起5个工作日内付清交易服务费、交易价款等交易资金，《资产交易合同》签署当日，其交纳的交易保证金冲抵交易服务费，多余部分（若有）转为履约保证金，待应支付的剩余款项全部到账后，履约保证金再转为交易价款的一部分。</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4、同意杭交所在经转让方申请之日起3个工作日内将受让方已交纳的交易价款全部划转至转让方指定账户。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rPr>
      </w:pPr>
      <w:r>
        <w:rPr>
          <w:rFonts w:hint="eastAsia" w:asciiTheme="minorEastAsia" w:hAnsiTheme="minorEastAsia" w:eastAsiaTheme="minorEastAsia"/>
          <w:b w:val="0"/>
          <w:bCs w:val="0"/>
          <w:sz w:val="18"/>
          <w:szCs w:val="18"/>
          <w:highlight w:val="none"/>
        </w:rPr>
        <w:t>5、已知悉</w:t>
      </w:r>
      <w:r>
        <w:rPr>
          <w:rFonts w:hint="eastAsia" w:asciiTheme="minorEastAsia" w:hAnsiTheme="minorEastAsia" w:eastAsiaTheme="minorEastAsia"/>
          <w:b w:val="0"/>
          <w:bCs w:val="0"/>
          <w:sz w:val="18"/>
          <w:szCs w:val="18"/>
          <w:highlight w:val="none"/>
          <w:lang w:val="en-US" w:eastAsia="zh-CN"/>
        </w:rPr>
        <w:t>并同意：</w:t>
      </w:r>
      <w:r>
        <w:rPr>
          <w:rFonts w:hint="eastAsia" w:asciiTheme="minorEastAsia" w:hAnsiTheme="minorEastAsia" w:eastAsiaTheme="minorEastAsia"/>
          <w:b w:val="0"/>
          <w:bCs w:val="0"/>
          <w:sz w:val="18"/>
          <w:szCs w:val="18"/>
          <w:highlight w:val="none"/>
        </w:rPr>
        <w:t>本次转让标的位于杭州市滨江区荟鼎智创中心（第一工业综合体），意向受让方需参照《杭州高新开发区（滨江）工业综合体入驻办法（试行）》（以下简称办法）自行了解是否符合项目入驻条件，若因受让方自身不符合上述办法而产生的一切责任和后果由受让方自行承担。意向受让方已知悉本次交易过程中，杭交所对意向受让方所提交的报名资格审核通过的，不视为受让方符合办法规定的项目入驻要求及产业导向，若因受让方原因无法符合办法规定的入驻条件，而造成所受让转让标的无法过户，受让方所缴纳的购房款损失及其他经济损失均由受让方自行承担，与转让方及杭交所无关，受让方已付交易服务费和履约保证金不予返还。同时转让方有权单方解除《资产交易合同》，由此产生的一切经济和法律责任，均由受让方承担。</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6、已知悉并同意：在办理房屋不动产权证变更登记手续时，有关职能部门要求提供文本合同的，转让方和受让方应按照相关规定签订文本合同。该等新签订的文本合同仅作为办理变更登记手续之用，不作为双方的实际履行依据，转让方和受让方的权利义务关系均以《资产交易合同》为准。</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7、已知悉：本次转让标的只限于不动产及地下车位本身，面积只限于不动产权证核定的面积范围内，不包括转让标的外部的附属用房、设施设备等。标的房屋如有漏水或需维修的情况，均由受让方自行修复，转让方不承担任何费用和责任。</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8、已知悉：受让方获得转让标的产权后须承诺并保证在不动产权证书记载的使用期限内（项目用地使用年限内）不得向第三人转让该转让标的(包括通过股权转让等形式)。如因经营情况、企业迁移等原因确需出让转让标的的，浙江省杭州市滨江区人民政府享有优先回购权，如出让给第三方，需经浙江省杭州市滨江区人民政府研究同意后方可交易。</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9、已知悉：受让方承诺未来经营业务符合荟鼎智创中心（第一工业综合体）整体产业定位和发展方向。</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default" w:asciiTheme="minorEastAsia" w:hAnsiTheme="minorEastAsia" w:eastAsiaTheme="minorEastAsia"/>
          <w:b w:val="0"/>
          <w:bCs w:val="0"/>
          <w:sz w:val="18"/>
          <w:szCs w:val="18"/>
          <w:highlight w:val="none"/>
          <w:lang w:val="en-US" w:eastAsia="zh-CN"/>
        </w:rPr>
        <w:t>1</w:t>
      </w:r>
      <w:r>
        <w:rPr>
          <w:rFonts w:hint="eastAsia" w:asciiTheme="minorEastAsia" w:hAnsiTheme="minorEastAsia" w:eastAsiaTheme="minorEastAsia"/>
          <w:b w:val="0"/>
          <w:bCs w:val="0"/>
          <w:sz w:val="18"/>
          <w:szCs w:val="18"/>
          <w:highlight w:val="none"/>
          <w:lang w:val="en-US" w:eastAsia="zh-CN"/>
        </w:rPr>
        <w:t>0、已知悉：受让方承诺不得改变建筑原始结构和平面及消防设施，受让方入驻进行装修时，应符合消防等相关规范和文件要求。</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default" w:asciiTheme="minorEastAsia" w:hAnsiTheme="minorEastAsia" w:eastAsiaTheme="minorEastAsia"/>
          <w:b w:val="0"/>
          <w:bCs w:val="0"/>
          <w:sz w:val="18"/>
          <w:szCs w:val="18"/>
          <w:highlight w:val="none"/>
          <w:lang w:val="en-US" w:eastAsia="zh-CN"/>
        </w:rPr>
        <w:t>1</w:t>
      </w:r>
      <w:r>
        <w:rPr>
          <w:rFonts w:hint="eastAsia" w:asciiTheme="minorEastAsia" w:hAnsiTheme="minorEastAsia" w:eastAsiaTheme="minorEastAsia"/>
          <w:b w:val="0"/>
          <w:bCs w:val="0"/>
          <w:sz w:val="18"/>
          <w:szCs w:val="18"/>
          <w:highlight w:val="none"/>
          <w:lang w:val="en-US" w:eastAsia="zh-CN"/>
        </w:rPr>
        <w:t>1、已知悉：受让方同意由转让方委托的物业服务单位、设施设备维保单位、维修单位等第三方单位对转让标的一并实施相关服务与管理，签订物业服务合同，并按产权面积按实结算物业费等相关费用，公共能耗费、水费、电费等按园区统一标准实施预缴制，据实结算。</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12、已知悉：在办理转让标的交付手续前、《资产交易合同》签订之日起5个工作日内，受让方须与所在园区属地相关单位（杭州高新技术产业开发区（滨江）互联网产业园发展服务中心，以下简称“滨江区互联网产业园发展服务中心”）签订书面履约监管协议，并遵照执行。意向受让方应在报名前自行前往滨江区互联网产业园发展服务中心所在地了解履约监管协议相关内容，一旦报名即视为已确认并知悉相关内容，若最终成为受让方，须无条件签署该履约监管协议。</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13、已知悉：受让方确认并承诺，根据杭房局[2005]251号文件，本次转让标的需按每平方米建筑面积65元标准统一缴纳物业维修基金，即在本次转让标的的不动产权证变更登记之前受让方需向转让方指定账户缴纳其所应承担的物业维修基金。</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14、已知悉：受让方已知悉并承诺：本次交易涉及的地下机动车位无法办理不动产权证，若后续地下机动车位能够办理不动产权证的，由受让方自行按相关规定办理并承担办理所需的税、费。</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15、已知悉：本次转让方与受让方的权利义务及不动产、地下机动车位的交付，最终以转让方提供的《资产交易合同》（样本）为准。</w:t>
      </w:r>
    </w:p>
    <w:p>
      <w:pPr>
        <w:keepNext w:val="0"/>
        <w:keepLines w:val="0"/>
        <w:pageBreakBefore w:val="0"/>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b w:val="0"/>
          <w:bCs w:val="0"/>
          <w:sz w:val="18"/>
          <w:szCs w:val="18"/>
          <w:highlight w:val="none"/>
          <w:lang w:val="en-US" w:eastAsia="zh-CN"/>
        </w:rPr>
      </w:pPr>
      <w:r>
        <w:rPr>
          <w:rFonts w:hint="eastAsia" w:asciiTheme="minorEastAsia" w:hAnsiTheme="minorEastAsia" w:eastAsiaTheme="minorEastAsia"/>
          <w:b w:val="0"/>
          <w:bCs w:val="0"/>
          <w:sz w:val="18"/>
          <w:szCs w:val="18"/>
          <w:highlight w:val="none"/>
          <w:lang w:val="en-US" w:eastAsia="zh-CN"/>
        </w:rPr>
        <w:t>16、若我方成为受让方：本项目成交后，我方同意向杭交所交纳按成交价的1.72%计的交易服务费。</w:t>
      </w:r>
    </w:p>
    <w:p>
      <w:pPr>
        <w:pStyle w:val="14"/>
        <w:ind w:firstLine="360" w:firstLineChars="200"/>
        <w:rPr>
          <w:rFonts w:hint="eastAsia"/>
          <w:sz w:val="18"/>
          <w:szCs w:val="21"/>
          <w:lang w:val="en-US" w:eastAsia="zh-CN"/>
        </w:rPr>
      </w:pPr>
      <w:r>
        <w:rPr>
          <w:rFonts w:hint="eastAsia" w:cs="Times New Roman" w:asciiTheme="minorEastAsia" w:hAnsiTheme="minorEastAsia" w:eastAsiaTheme="minorEastAsia"/>
          <w:b w:val="0"/>
          <w:bCs w:val="0"/>
          <w:kern w:val="2"/>
          <w:sz w:val="18"/>
          <w:szCs w:val="18"/>
          <w:highlight w:val="none"/>
          <w:lang w:val="en-US" w:eastAsia="zh-CN" w:bidi="ar-SA"/>
        </w:rPr>
        <w:t>17、</w:t>
      </w:r>
      <w:r>
        <w:rPr>
          <w:rFonts w:hint="eastAsia"/>
          <w:sz w:val="18"/>
          <w:szCs w:val="21"/>
          <w:lang w:val="en-US" w:eastAsia="zh-CN"/>
        </w:rPr>
        <w:t>若非转让方原因，出现以下任一情况时，意向受让方交纳的保证金不予退还，先用于补偿杭交所的各项服务费，剩余部分作为对转让方的经济补偿金，保证金不足以补偿的，相关方有权按照实际损失继续追诉：</w:t>
      </w:r>
    </w:p>
    <w:p>
      <w:pPr>
        <w:pStyle w:val="14"/>
        <w:ind w:firstLine="360" w:firstLineChars="200"/>
        <w:rPr>
          <w:rFonts w:hint="eastAsia"/>
          <w:sz w:val="18"/>
          <w:szCs w:val="21"/>
          <w:lang w:val="en-US" w:eastAsia="zh-CN"/>
        </w:rPr>
      </w:pPr>
      <w:r>
        <w:rPr>
          <w:rFonts w:hint="eastAsia"/>
          <w:sz w:val="18"/>
          <w:szCs w:val="21"/>
          <w:lang w:val="en-US" w:eastAsia="zh-CN"/>
        </w:rPr>
        <w:t>（1）意向受让方提交受让申请并交纳交易保证金后单方撤回受让申请的；</w:t>
      </w:r>
    </w:p>
    <w:p>
      <w:pPr>
        <w:pStyle w:val="14"/>
        <w:ind w:firstLine="360" w:firstLineChars="200"/>
        <w:rPr>
          <w:rFonts w:hint="eastAsia"/>
          <w:sz w:val="18"/>
          <w:szCs w:val="21"/>
          <w:lang w:val="en-US" w:eastAsia="zh-CN"/>
        </w:rPr>
      </w:pPr>
      <w:r>
        <w:rPr>
          <w:rFonts w:hint="eastAsia"/>
          <w:sz w:val="18"/>
          <w:szCs w:val="21"/>
          <w:lang w:val="en-US" w:eastAsia="zh-CN"/>
        </w:rPr>
        <w:t>（2）产生符合条件的意向受让方后，各意向受让方在竞价期间均不报价的;</w:t>
      </w:r>
    </w:p>
    <w:p>
      <w:pPr>
        <w:pStyle w:val="14"/>
        <w:ind w:firstLine="360" w:firstLineChars="200"/>
        <w:rPr>
          <w:rFonts w:hint="eastAsia"/>
          <w:sz w:val="18"/>
          <w:szCs w:val="21"/>
          <w:lang w:val="en-US" w:eastAsia="zh-CN"/>
        </w:rPr>
      </w:pPr>
      <w:r>
        <w:rPr>
          <w:rFonts w:hint="eastAsia"/>
          <w:sz w:val="18"/>
          <w:szCs w:val="21"/>
          <w:lang w:val="en-US" w:eastAsia="zh-CN"/>
        </w:rPr>
        <w:t>（3）在被确定为受让方后未按约定签署《资产交易合同》的或未按约定支付交易价款、交易服务费的；</w:t>
      </w:r>
    </w:p>
    <w:p>
      <w:pPr>
        <w:pStyle w:val="14"/>
        <w:ind w:firstLine="360" w:firstLineChars="200"/>
        <w:rPr>
          <w:rFonts w:hint="eastAsia"/>
          <w:sz w:val="18"/>
          <w:szCs w:val="21"/>
          <w:lang w:val="en-US" w:eastAsia="zh-CN"/>
        </w:rPr>
      </w:pPr>
      <w:r>
        <w:rPr>
          <w:rFonts w:hint="eastAsia"/>
          <w:sz w:val="18"/>
          <w:szCs w:val="21"/>
          <w:lang w:val="en-US" w:eastAsia="zh-CN"/>
        </w:rPr>
        <w:t>（4）意向受让方未履行书面承诺事项的；</w:t>
      </w:r>
    </w:p>
    <w:p>
      <w:pPr>
        <w:pStyle w:val="14"/>
        <w:ind w:firstLine="360" w:firstLineChars="200"/>
        <w:rPr>
          <w:rFonts w:hint="eastAsia"/>
          <w:sz w:val="18"/>
          <w:szCs w:val="21"/>
          <w:lang w:val="en-US" w:eastAsia="zh-CN"/>
        </w:rPr>
      </w:pPr>
      <w:r>
        <w:rPr>
          <w:rFonts w:hint="eastAsia"/>
          <w:sz w:val="18"/>
          <w:szCs w:val="21"/>
          <w:lang w:val="en-US" w:eastAsia="zh-CN"/>
        </w:rPr>
        <w:t>（5）存在其他违反交易规则情形的。</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18"/>
          <w:szCs w:val="18"/>
          <w:highlight w:val="none"/>
        </w:rPr>
      </w:pPr>
      <w:r>
        <w:rPr>
          <w:rFonts w:hint="eastAsia"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lang w:val="en-US" w:eastAsia="zh-CN"/>
        </w:rPr>
        <w:t xml:space="preserve">                            </w:t>
      </w:r>
      <w:r>
        <w:rPr>
          <w:rFonts w:hint="eastAsia" w:asciiTheme="minorEastAsia" w:hAnsiTheme="minorEastAsia" w:eastAsiaTheme="minorEastAsia"/>
          <w:sz w:val="18"/>
          <w:szCs w:val="18"/>
          <w:highlight w:val="none"/>
        </w:rPr>
        <w:t xml:space="preserve"> 意向受让方（签章）：</w:t>
      </w:r>
    </w:p>
    <w:p>
      <w:pPr>
        <w:keepNext w:val="0"/>
        <w:keepLines w:val="0"/>
        <w:pageBreakBefore w:val="0"/>
        <w:kinsoku/>
        <w:wordWrap/>
        <w:overflowPunct/>
        <w:topLinePunct w:val="0"/>
        <w:autoSpaceDE/>
        <w:autoSpaceDN/>
        <w:bidi w:val="0"/>
        <w:adjustRightInd/>
        <w:snapToGrid/>
        <w:spacing w:line="440" w:lineRule="exact"/>
        <w:textAlignment w:val="auto"/>
        <w:rPr>
          <w:rFonts w:asciiTheme="minorEastAsia" w:hAnsiTheme="minorEastAsia" w:eastAsiaTheme="minorEastAsia"/>
          <w:sz w:val="18"/>
          <w:szCs w:val="18"/>
        </w:rPr>
      </w:pPr>
      <w:r>
        <w:rPr>
          <w:rFonts w:hint="eastAsia"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lang w:val="en-US" w:eastAsia="zh-CN"/>
        </w:rPr>
        <w:t xml:space="preserve">              </w:t>
      </w:r>
      <w:r>
        <w:rPr>
          <w:rFonts w:hint="eastAsia" w:asciiTheme="minorEastAsia" w:hAnsiTheme="minorEastAsia" w:eastAsiaTheme="minorEastAsia"/>
          <w:sz w:val="18"/>
          <w:szCs w:val="18"/>
          <w:highlight w:val="none"/>
        </w:rPr>
        <w:t xml:space="preserve"> </w:t>
      </w:r>
      <w:r>
        <w:rPr>
          <w:rFonts w:hint="eastAsia" w:asciiTheme="minorEastAsia" w:hAnsiTheme="minorEastAsia" w:eastAsiaTheme="minorEastAsia"/>
          <w:sz w:val="18"/>
          <w:szCs w:val="18"/>
          <w:highlight w:val="none"/>
          <w:lang w:val="en-US" w:eastAsia="zh-CN"/>
        </w:rPr>
        <w:t xml:space="preserve">    </w:t>
      </w:r>
      <w:r>
        <w:rPr>
          <w:rFonts w:hint="eastAsia" w:asciiTheme="minorEastAsia" w:hAnsiTheme="minorEastAsia" w:eastAsiaTheme="minorEastAsia"/>
          <w:sz w:val="18"/>
          <w:szCs w:val="18"/>
          <w:highlight w:val="none"/>
        </w:rPr>
        <w:t>年</w:t>
      </w:r>
      <w:r>
        <w:rPr>
          <w:rFonts w:hint="default" w:asciiTheme="minorEastAsia" w:hAnsiTheme="minorEastAsia" w:eastAsiaTheme="minorEastAsia"/>
          <w:sz w:val="18"/>
          <w:szCs w:val="18"/>
          <w:highlight w:val="none"/>
          <w:lang w:val="en-US" w:eastAsia="zh-CN"/>
        </w:rPr>
        <w:t xml:space="preserve"> </w:t>
      </w:r>
      <w:r>
        <w:rPr>
          <w:rFonts w:hint="eastAsia" w:asciiTheme="minorEastAsia" w:hAnsiTheme="minorEastAsia" w:eastAsiaTheme="minorEastAsia"/>
          <w:sz w:val="18"/>
          <w:szCs w:val="18"/>
          <w:highlight w:val="none"/>
          <w:lang w:val="en-US" w:eastAsia="zh-CN"/>
        </w:rPr>
        <w:t xml:space="preserve"> </w:t>
      </w:r>
      <w:r>
        <w:rPr>
          <w:rFonts w:hint="eastAsia" w:asciiTheme="minorEastAsia" w:hAnsiTheme="minorEastAsia" w:eastAsiaTheme="minorEastAsia"/>
          <w:sz w:val="18"/>
          <w:szCs w:val="18"/>
          <w:highlight w:val="none"/>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C3455"/>
    <w:rsid w:val="002F36D9"/>
    <w:rsid w:val="003229C2"/>
    <w:rsid w:val="003A2F6F"/>
    <w:rsid w:val="003E079C"/>
    <w:rsid w:val="00413930"/>
    <w:rsid w:val="00430675"/>
    <w:rsid w:val="004900C6"/>
    <w:rsid w:val="004A1FB4"/>
    <w:rsid w:val="004C246D"/>
    <w:rsid w:val="004D1B74"/>
    <w:rsid w:val="004E1479"/>
    <w:rsid w:val="004E3107"/>
    <w:rsid w:val="004F3BEF"/>
    <w:rsid w:val="00503879"/>
    <w:rsid w:val="005104B5"/>
    <w:rsid w:val="0055051A"/>
    <w:rsid w:val="005A37D0"/>
    <w:rsid w:val="0060197B"/>
    <w:rsid w:val="00627BE3"/>
    <w:rsid w:val="00662215"/>
    <w:rsid w:val="006D1CE0"/>
    <w:rsid w:val="007132C7"/>
    <w:rsid w:val="00737286"/>
    <w:rsid w:val="007847DD"/>
    <w:rsid w:val="00790D21"/>
    <w:rsid w:val="007E4EDD"/>
    <w:rsid w:val="007E70EE"/>
    <w:rsid w:val="0084282E"/>
    <w:rsid w:val="00884F8A"/>
    <w:rsid w:val="008B006E"/>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2BBC"/>
    <w:rsid w:val="00EF62AF"/>
    <w:rsid w:val="00F06BEC"/>
    <w:rsid w:val="00F177CC"/>
    <w:rsid w:val="00F47654"/>
    <w:rsid w:val="00FA0343"/>
    <w:rsid w:val="00FA6AB7"/>
    <w:rsid w:val="00FB035B"/>
    <w:rsid w:val="02A97BC7"/>
    <w:rsid w:val="03215529"/>
    <w:rsid w:val="0A1853A8"/>
    <w:rsid w:val="0A515AA7"/>
    <w:rsid w:val="0BC501BB"/>
    <w:rsid w:val="0CCA5698"/>
    <w:rsid w:val="0E0C6E19"/>
    <w:rsid w:val="0FE30ECF"/>
    <w:rsid w:val="16DC443B"/>
    <w:rsid w:val="1A4D26DA"/>
    <w:rsid w:val="1B9555CA"/>
    <w:rsid w:val="2177446E"/>
    <w:rsid w:val="23807276"/>
    <w:rsid w:val="25F8037F"/>
    <w:rsid w:val="26851B4D"/>
    <w:rsid w:val="26BF5E4E"/>
    <w:rsid w:val="279A7186"/>
    <w:rsid w:val="2AE67843"/>
    <w:rsid w:val="2D0B45E4"/>
    <w:rsid w:val="30873003"/>
    <w:rsid w:val="30BD3CBE"/>
    <w:rsid w:val="35535B35"/>
    <w:rsid w:val="381E3097"/>
    <w:rsid w:val="3D3757B3"/>
    <w:rsid w:val="3F404ABC"/>
    <w:rsid w:val="41143F4E"/>
    <w:rsid w:val="42151A4A"/>
    <w:rsid w:val="42684A95"/>
    <w:rsid w:val="42B02950"/>
    <w:rsid w:val="43113BC5"/>
    <w:rsid w:val="465C1A10"/>
    <w:rsid w:val="4A7440E9"/>
    <w:rsid w:val="4B7C161D"/>
    <w:rsid w:val="4D2550F3"/>
    <w:rsid w:val="50E333B4"/>
    <w:rsid w:val="51B53AC1"/>
    <w:rsid w:val="5378762D"/>
    <w:rsid w:val="53C06296"/>
    <w:rsid w:val="56D8236E"/>
    <w:rsid w:val="57BC4549"/>
    <w:rsid w:val="5A3253A7"/>
    <w:rsid w:val="5C1326C0"/>
    <w:rsid w:val="610339B9"/>
    <w:rsid w:val="670E27D2"/>
    <w:rsid w:val="67644605"/>
    <w:rsid w:val="69322DF1"/>
    <w:rsid w:val="6E077050"/>
    <w:rsid w:val="6ECD4B80"/>
    <w:rsid w:val="6F1A2A4F"/>
    <w:rsid w:val="6FB655F4"/>
    <w:rsid w:val="72557AF2"/>
    <w:rsid w:val="75AC4784"/>
    <w:rsid w:val="772D2BD5"/>
    <w:rsid w:val="7C635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Body Text"/>
    <w:basedOn w:val="1"/>
    <w:next w:val="4"/>
    <w:qFormat/>
    <w:uiPriority w:val="99"/>
  </w:style>
  <w:style w:type="paragraph" w:styleId="4">
    <w:name w:val="Body Text First Indent"/>
    <w:basedOn w:val="1"/>
    <w:next w:val="1"/>
    <w:qFormat/>
    <w:uiPriority w:val="0"/>
    <w:pPr>
      <w:ind w:firstLine="420" w:firstLineChars="100"/>
    </w:pPr>
    <w:rPr>
      <w:szCs w:val="24"/>
    </w:rPr>
  </w:style>
  <w:style w:type="paragraph" w:styleId="5">
    <w:name w:val="Body Text Indent"/>
    <w:basedOn w:val="1"/>
    <w:qFormat/>
    <w:uiPriority w:val="0"/>
    <w:pPr>
      <w:spacing w:after="120"/>
      <w:ind w:left="420" w:leftChars="200"/>
    </w:pPr>
  </w:style>
  <w:style w:type="paragraph" w:styleId="6">
    <w:name w:val="Plain Text"/>
    <w:basedOn w:val="1"/>
    <w:next w:val="3"/>
    <w:unhideWhenUsed/>
    <w:qFormat/>
    <w:uiPriority w:val="0"/>
    <w:rPr>
      <w:rFonts w:ascii="宋体" w:hAnsi="Courier New" w:cs="Courier New"/>
      <w:szCs w:val="21"/>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5"/>
    <w:qFormat/>
    <w:uiPriority w:val="0"/>
    <w:pPr>
      <w:tabs>
        <w:tab w:val="left" w:pos="1400"/>
      </w:tabs>
      <w:ind w:firstLine="420" w:firstLineChars="200"/>
    </w:pPr>
  </w:style>
  <w:style w:type="paragraph" w:customStyle="1" w:styleId="14">
    <w:name w:val="表格文字"/>
    <w:basedOn w:val="6"/>
    <w:next w:val="3"/>
    <w:qFormat/>
    <w:uiPriority w:val="0"/>
    <w:pPr>
      <w:adjustRightInd w:val="0"/>
      <w:spacing w:line="420" w:lineRule="atLeast"/>
      <w:jc w:val="left"/>
      <w:textAlignment w:val="baseline"/>
    </w:pPr>
    <w:rPr>
      <w:rFonts w:ascii="Times New Roman" w:hAnsi="Times New Roman" w:eastAsia="宋体"/>
      <w:kern w:val="0"/>
      <w:szCs w:val="24"/>
    </w:rPr>
  </w:style>
  <w:style w:type="character" w:customStyle="1" w:styleId="15">
    <w:name w:val="页眉 Char"/>
    <w:basedOn w:val="13"/>
    <w:link w:val="8"/>
    <w:semiHidden/>
    <w:qFormat/>
    <w:uiPriority w:val="99"/>
    <w:rPr>
      <w:rFonts w:ascii="Times New Roman" w:hAnsi="Times New Roman" w:eastAsia="宋体" w:cs="Times New Roman"/>
      <w:sz w:val="18"/>
      <w:szCs w:val="18"/>
    </w:rPr>
  </w:style>
  <w:style w:type="character" w:customStyle="1" w:styleId="16">
    <w:name w:val="页脚 Char"/>
    <w:basedOn w:val="13"/>
    <w:link w:val="7"/>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336</Words>
  <Characters>1918</Characters>
  <Lines>15</Lines>
  <Paragraphs>4</Paragraphs>
  <TotalTime>1</TotalTime>
  <ScaleCrop>false</ScaleCrop>
  <LinksUpToDate>false</LinksUpToDate>
  <CharactersWithSpaces>2250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王际超</cp:lastModifiedBy>
  <cp:lastPrinted>2021-02-08T06:39:00Z</cp:lastPrinted>
  <dcterms:modified xsi:type="dcterms:W3CDTF">2025-03-20T06:21:37Z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C96AB71A2F2E439F8EAAD78549C91B89</vt:lpwstr>
  </property>
</Properties>
</file>