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51804">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baseline"/>
        <w:rPr>
          <w:rFonts w:ascii="宋体" w:hAnsi="宋体" w:eastAsia="宋体" w:cs="宋体"/>
          <w:b/>
          <w:bCs/>
          <w:spacing w:val="4"/>
          <w:sz w:val="33"/>
          <w:szCs w:val="33"/>
        </w:rPr>
      </w:pPr>
    </w:p>
    <w:p w14:paraId="33094C19">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ascii="宋体" w:hAnsi="宋体" w:eastAsia="宋体" w:cs="宋体"/>
          <w:b/>
          <w:bCs/>
          <w:spacing w:val="4"/>
          <w:sz w:val="33"/>
          <w:szCs w:val="33"/>
        </w:rPr>
      </w:pPr>
      <w:r>
        <w:rPr>
          <w:rFonts w:ascii="宋体" w:hAnsi="宋体" w:eastAsia="宋体" w:cs="宋体"/>
          <w:b/>
          <w:bCs/>
          <w:spacing w:val="4"/>
          <w:sz w:val="33"/>
          <w:szCs w:val="33"/>
        </w:rPr>
        <w:t>房屋租赁合同</w:t>
      </w:r>
    </w:p>
    <w:p w14:paraId="01861723">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baseline"/>
        <w:rPr>
          <w:rFonts w:ascii="宋体" w:hAnsi="宋体" w:eastAsia="宋体" w:cs="宋体"/>
          <w:b/>
          <w:bCs/>
          <w:spacing w:val="0"/>
          <w:sz w:val="33"/>
          <w:szCs w:val="33"/>
        </w:rPr>
      </w:pPr>
    </w:p>
    <w:p w14:paraId="7233E64C">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rFonts w:hint="eastAsia" w:ascii="方正仿宋_GBK" w:hAnsi="方正仿宋_GBK" w:eastAsia="方正仿宋_GBK" w:cs="方正仿宋_GBK"/>
          <w:b/>
          <w:bCs/>
          <w:spacing w:val="0"/>
        </w:rPr>
      </w:pPr>
      <w:r>
        <w:rPr>
          <w:rFonts w:hint="eastAsia" w:ascii="方正仿宋_GBK" w:hAnsi="方正仿宋_GBK" w:eastAsia="方正仿宋_GBK" w:cs="方正仿宋_GBK"/>
          <w:b/>
          <w:bCs/>
          <w:spacing w:val="0"/>
        </w:rPr>
        <w:t>甲方(出租方):杭州文三数字生活街区运营管理有限公司</w:t>
      </w:r>
    </w:p>
    <w:p w14:paraId="22878A04">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rFonts w:hint="eastAsia" w:ascii="方正仿宋_GBK" w:hAnsi="方正仿宋_GBK" w:eastAsia="方正仿宋_GBK" w:cs="方正仿宋_GBK"/>
          <w:b/>
          <w:bCs/>
          <w:spacing w:val="0"/>
          <w:lang w:val="en-US" w:eastAsia="zh-CN"/>
        </w:rPr>
      </w:pPr>
      <w:r>
        <w:rPr>
          <w:rFonts w:hint="eastAsia" w:ascii="方正仿宋_GBK" w:hAnsi="方正仿宋_GBK" w:eastAsia="方正仿宋_GBK" w:cs="方正仿宋_GBK"/>
          <w:b/>
          <w:bCs/>
          <w:spacing w:val="0"/>
        </w:rPr>
        <w:t>统一社会信用代码：91330106725890880</w:t>
      </w:r>
      <w:r>
        <w:rPr>
          <w:rFonts w:hint="eastAsia" w:ascii="方正仿宋_GBK" w:hAnsi="方正仿宋_GBK" w:eastAsia="方正仿宋_GBK" w:cs="方正仿宋_GBK"/>
          <w:b/>
          <w:bCs/>
          <w:spacing w:val="0"/>
          <w:lang w:val="en-US" w:eastAsia="zh-CN"/>
        </w:rPr>
        <w:t>J</w:t>
      </w:r>
    </w:p>
    <w:p w14:paraId="2DFDB932">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rFonts w:hint="eastAsia" w:ascii="方正仿宋_GBK" w:hAnsi="方正仿宋_GBK" w:eastAsia="方正仿宋_GBK" w:cs="方正仿宋_GBK"/>
          <w:b/>
          <w:bCs/>
          <w:spacing w:val="0"/>
          <w:lang w:eastAsia="zh-CN"/>
        </w:rPr>
      </w:pPr>
      <w:r>
        <w:rPr>
          <w:rFonts w:hint="eastAsia" w:ascii="方正仿宋_GBK" w:hAnsi="方正仿宋_GBK" w:eastAsia="方正仿宋_GBK" w:cs="方正仿宋_GBK"/>
          <w:b/>
          <w:bCs/>
          <w:spacing w:val="0"/>
        </w:rPr>
        <w:t>乙方(承租方):</w:t>
      </w:r>
      <w:r>
        <w:rPr>
          <w:rFonts w:hint="eastAsia" w:ascii="方正仿宋_GBK" w:hAnsi="方正仿宋_GBK" w:eastAsia="方正仿宋_GBK" w:cs="方正仿宋_GBK"/>
          <w:b/>
          <w:bCs/>
          <w:spacing w:val="0"/>
          <w:lang w:val="en-US" w:eastAsia="zh-CN"/>
        </w:rPr>
        <w:t>xx</w:t>
      </w:r>
    </w:p>
    <w:p w14:paraId="4C9CC384">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rFonts w:hint="eastAsia" w:ascii="方正仿宋_GBK" w:hAnsi="方正仿宋_GBK" w:eastAsia="方正仿宋_GBK" w:cs="方正仿宋_GBK"/>
          <w:b/>
          <w:bCs/>
          <w:spacing w:val="0"/>
        </w:rPr>
      </w:pPr>
      <w:r>
        <w:rPr>
          <w:rFonts w:hint="eastAsia" w:ascii="方正仿宋_GBK" w:hAnsi="方正仿宋_GBK" w:eastAsia="方正仿宋_GBK" w:cs="方正仿宋_GBK"/>
          <w:b/>
          <w:bCs/>
          <w:spacing w:val="0"/>
        </w:rPr>
        <w:t>统一社会信用代码：</w:t>
      </w:r>
    </w:p>
    <w:p w14:paraId="1406B750">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pPr>
      <w:r>
        <w:rPr>
          <w:spacing w:val="5"/>
        </w:rPr>
        <w:t>根据中国现行有效的相关法律法规之规定，经自愿平等友好协商，就乙方拟</w:t>
      </w:r>
    </w:p>
    <w:p w14:paraId="60C042D5">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pPr>
      <w:r>
        <w:rPr>
          <w:spacing w:val="6"/>
        </w:rPr>
        <w:t>承租本合同项下甲方的</w:t>
      </w:r>
      <w:r>
        <w:rPr>
          <w:spacing w:val="6"/>
          <w:u w:val="single" w:color="auto"/>
        </w:rPr>
        <w:t>文三路385#门面房</w:t>
      </w:r>
      <w:r>
        <w:rPr>
          <w:spacing w:val="6"/>
        </w:rPr>
        <w:t>事宜，双</w:t>
      </w:r>
      <w:r>
        <w:rPr>
          <w:spacing w:val="5"/>
        </w:rPr>
        <w:t>方达成如下约定：</w:t>
      </w:r>
    </w:p>
    <w:p w14:paraId="401AFD4C">
      <w:pPr>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rFonts w:ascii="Arial"/>
          <w:sz w:val="21"/>
        </w:rPr>
      </w:pPr>
    </w:p>
    <w:p w14:paraId="23700D62">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outlineLvl w:val="0"/>
      </w:pPr>
      <w:r>
        <w:rPr>
          <w:b/>
          <w:bCs/>
          <w:spacing w:val="3"/>
        </w:rPr>
        <w:t>一、租赁标的房屋基本情况</w:t>
      </w:r>
    </w:p>
    <w:p w14:paraId="5E84E890">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pPr>
      <w:r>
        <w:rPr>
          <w:spacing w:val="22"/>
        </w:rPr>
        <w:t>1、乙方承租甲方位于</w:t>
      </w:r>
      <w:r>
        <w:rPr>
          <w:spacing w:val="22"/>
          <w:u w:val="single" w:color="auto"/>
        </w:rPr>
        <w:t>文三路385号(以下简称"</w:t>
      </w:r>
      <w:r>
        <w:rPr>
          <w:spacing w:val="21"/>
          <w:u w:val="single" w:color="auto"/>
        </w:rPr>
        <w:t>房屋")</w:t>
      </w:r>
      <w:r>
        <w:rPr>
          <w:spacing w:val="21"/>
        </w:rPr>
        <w:t>,双方确认该标</w:t>
      </w:r>
      <w:r>
        <w:rPr>
          <w:spacing w:val="8"/>
        </w:rPr>
        <w:t>的房屋计租面积为</w:t>
      </w:r>
      <w:r>
        <w:rPr>
          <w:rFonts w:hint="eastAsia"/>
          <w:spacing w:val="53"/>
          <w:u w:val="single"/>
          <w:lang w:val="en-US" w:eastAsia="zh-CN"/>
        </w:rPr>
        <w:t>117.59</w:t>
      </w:r>
      <w:r>
        <w:rPr>
          <w:spacing w:val="8"/>
        </w:rPr>
        <w:t>平方米(详见附件位置平面图)。</w:t>
      </w:r>
    </w:p>
    <w:p w14:paraId="4B3ABC97">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pPr>
      <w:r>
        <w:rPr>
          <w:spacing w:val="8"/>
        </w:rPr>
        <w:t>2、合同签订前，乙方代表已到租赁标的房屋现场对所要租赁的标的房屋作</w:t>
      </w:r>
      <w:r>
        <w:rPr>
          <w:spacing w:val="4"/>
        </w:rPr>
        <w:t>了全面充分了解，确定房屋现状符合其商业目的，自愿承租经营并承担所有与经</w:t>
      </w:r>
      <w:r>
        <w:rPr>
          <w:spacing w:val="5"/>
        </w:rPr>
        <w:t>营相关的责任和风险，不因经营亏损或其他理由不履行本合同约定的义务或向甲</w:t>
      </w:r>
      <w:r>
        <w:rPr>
          <w:spacing w:val="4"/>
        </w:rPr>
        <w:t>方提出本合同约定之外的要求。</w:t>
      </w:r>
    </w:p>
    <w:p w14:paraId="5F5CA0C5">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outlineLvl w:val="0"/>
      </w:pPr>
      <w:r>
        <w:rPr>
          <w:b/>
          <w:bCs/>
          <w:spacing w:val="-4"/>
        </w:rPr>
        <w:t>二、租赁期限及用途</w:t>
      </w:r>
    </w:p>
    <w:p w14:paraId="406BD2A5">
      <w:pPr>
        <w:pStyle w:val="2"/>
        <w:keepNext w:val="0"/>
        <w:keepLines w:val="0"/>
        <w:pageBreakBefore w:val="0"/>
        <w:widowControl w:val="0"/>
        <w:kinsoku/>
        <w:wordWrap/>
        <w:overflowPunct/>
        <w:topLinePunct w:val="0"/>
        <w:autoSpaceDE/>
        <w:autoSpaceDN/>
        <w:bidi w:val="0"/>
        <w:adjustRightInd w:val="0"/>
        <w:snapToGrid w:val="0"/>
        <w:spacing w:line="360" w:lineRule="auto"/>
        <w:ind w:left="218" w:leftChars="104" w:right="0" w:firstLine="261" w:firstLineChars="118"/>
        <w:jc w:val="both"/>
        <w:textAlignment w:val="baseline"/>
      </w:pPr>
      <w:r>
        <w:rPr>
          <w:spacing w:val="1"/>
        </w:rPr>
        <w:t>1、标的房屋租赁期限为</w:t>
      </w:r>
      <w:r>
        <w:rPr>
          <w:rFonts w:hint="eastAsia"/>
          <w:spacing w:val="1"/>
          <w:u w:val="single" w:color="auto"/>
          <w:lang w:val="en-US" w:eastAsia="zh-CN"/>
        </w:rPr>
        <w:t xml:space="preserve">    3年</w:t>
      </w:r>
      <w:r>
        <w:rPr>
          <w:rFonts w:hint="eastAsia"/>
          <w:spacing w:val="1"/>
          <w:highlight w:val="none"/>
          <w:u w:val="single" w:color="auto"/>
          <w:lang w:val="en-US" w:eastAsia="zh-CN"/>
        </w:rPr>
        <w:t xml:space="preserve">    </w:t>
      </w:r>
      <w:r>
        <w:rPr>
          <w:spacing w:val="1"/>
          <w:highlight w:val="none"/>
        </w:rPr>
        <w:t>,自</w:t>
      </w:r>
      <w:r>
        <w:rPr>
          <w:rFonts w:hint="eastAsia"/>
          <w:spacing w:val="1"/>
          <w:highlight w:val="none"/>
          <w:u w:val="single" w:color="auto"/>
          <w:lang w:val="en-US" w:eastAsia="zh-CN"/>
        </w:rPr>
        <w:t xml:space="preserve">      </w:t>
      </w:r>
      <w:r>
        <w:rPr>
          <w:spacing w:val="1"/>
          <w:highlight w:val="none"/>
        </w:rPr>
        <w:t>年</w:t>
      </w:r>
      <w:r>
        <w:rPr>
          <w:rFonts w:hint="eastAsia"/>
          <w:spacing w:val="1"/>
          <w:highlight w:val="none"/>
          <w:u w:val="single"/>
          <w:lang w:val="en-US" w:eastAsia="zh-CN"/>
        </w:rPr>
        <w:t xml:space="preserve">  </w:t>
      </w:r>
      <w:r>
        <w:rPr>
          <w:spacing w:val="1"/>
          <w:highlight w:val="none"/>
        </w:rPr>
        <w:t>月</w:t>
      </w:r>
      <w:r>
        <w:rPr>
          <w:rFonts w:hint="eastAsia"/>
          <w:spacing w:val="27"/>
          <w:highlight w:val="none"/>
          <w:u w:val="single" w:color="auto"/>
          <w:lang w:val="en-US" w:eastAsia="zh-CN"/>
        </w:rPr>
        <w:t xml:space="preserve">  </w:t>
      </w:r>
      <w:r>
        <w:rPr>
          <w:highlight w:val="none"/>
          <w:u w:val="none" w:color="auto"/>
        </w:rPr>
        <w:t>日</w:t>
      </w:r>
      <w:r>
        <w:rPr>
          <w:highlight w:val="none"/>
        </w:rPr>
        <w:t>起</w:t>
      </w:r>
      <w:r>
        <w:rPr>
          <w:highlight w:val="none"/>
          <w:u w:val="none" w:color="auto"/>
        </w:rPr>
        <w:t>至</w:t>
      </w:r>
      <w:r>
        <w:rPr>
          <w:rFonts w:hint="eastAsia"/>
          <w:spacing w:val="1"/>
          <w:highlight w:val="none"/>
          <w:u w:val="single" w:color="auto"/>
        </w:rPr>
        <w:t xml:space="preserve">  </w:t>
      </w:r>
      <w:r>
        <w:rPr>
          <w:rFonts w:hint="eastAsia"/>
          <w:spacing w:val="1"/>
          <w:highlight w:val="none"/>
          <w:u w:val="single" w:color="auto"/>
          <w:lang w:val="en-US" w:eastAsia="zh-CN"/>
        </w:rPr>
        <w:t xml:space="preserve">  </w:t>
      </w:r>
      <w:r>
        <w:rPr>
          <w:rFonts w:hint="eastAsia"/>
          <w:spacing w:val="1"/>
          <w:highlight w:val="none"/>
          <w:u w:val="single" w:color="auto"/>
        </w:rPr>
        <w:t>年  月</w:t>
      </w:r>
      <w:r>
        <w:rPr>
          <w:rFonts w:hint="eastAsia"/>
          <w:spacing w:val="1"/>
          <w:highlight w:val="none"/>
          <w:u w:val="single" w:color="auto"/>
          <w:lang w:val="en-US" w:eastAsia="zh-CN"/>
        </w:rPr>
        <w:t xml:space="preserve">  </w:t>
      </w:r>
      <w:r>
        <w:rPr>
          <w:rFonts w:hint="eastAsia"/>
          <w:spacing w:val="1"/>
          <w:highlight w:val="none"/>
          <w:u w:val="single" w:color="auto"/>
        </w:rPr>
        <w:t>日</w:t>
      </w:r>
      <w:r>
        <w:rPr>
          <w:spacing w:val="1"/>
          <w:highlight w:val="none"/>
        </w:rPr>
        <w:t>止。本合同期满后如甲方继</w:t>
      </w:r>
      <w:r>
        <w:rPr>
          <w:spacing w:val="1"/>
        </w:rPr>
        <w:t>续出租该房屋的，在同等条件下，乙</w:t>
      </w:r>
      <w:r>
        <w:rPr>
          <w:spacing w:val="11"/>
        </w:rPr>
        <w:t>方享有优先承租权。乙方如需续租房屋，应在本合同期限届满的90日前向甲方</w:t>
      </w:r>
      <w:r>
        <w:rPr>
          <w:spacing w:val="7"/>
        </w:rPr>
        <w:t>提出书面申请，逾期不提出申请的，视为乙方自动放弃优先承租权。</w:t>
      </w:r>
    </w:p>
    <w:p w14:paraId="641BE45C">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rPr>
          <w:i/>
          <w:iCs/>
          <w:spacing w:val="7"/>
          <w:sz w:val="23"/>
          <w:szCs w:val="23"/>
        </w:rPr>
      </w:pPr>
      <w:r>
        <w:rPr>
          <w:spacing w:val="7"/>
        </w:rPr>
        <w:t>2、乙方租赁该标的房屋仅作为</w:t>
      </w:r>
      <w:r>
        <w:rPr>
          <w:rFonts w:hint="default"/>
          <w:spacing w:val="7"/>
          <w:u w:val="none" w:color="auto"/>
          <w:lang w:val="en-US" w:eastAsia="zh-CN"/>
        </w:rPr>
        <w:t xml:space="preserve"> </w:t>
      </w:r>
      <w:r>
        <w:rPr>
          <w:rFonts w:hint="default"/>
          <w:spacing w:val="7"/>
          <w:u w:val="none" w:color="auto"/>
          <w:lang w:val="en-US" w:eastAsia="zh-CN"/>
        </w:rPr>
        <w:t>超市经营等</w:t>
      </w:r>
      <w:r>
        <w:rPr>
          <w:rFonts w:hint="eastAsia"/>
          <w:spacing w:val="7"/>
          <w:u w:val="single" w:color="auto"/>
          <w:lang w:val="en-US" w:eastAsia="zh-CN"/>
        </w:rPr>
        <w:t xml:space="preserve"> </w:t>
      </w:r>
      <w:r>
        <w:rPr>
          <w:spacing w:val="7"/>
        </w:rPr>
        <w:t>使用，经营业态为</w:t>
      </w:r>
      <w:r>
        <w:rPr>
          <w:rFonts w:hint="eastAsia"/>
          <w:spacing w:val="7"/>
          <w:u w:val="single" w:color="auto"/>
          <w:lang w:val="en-US" w:eastAsia="zh-CN"/>
        </w:rPr>
        <w:t xml:space="preserve"> </w:t>
      </w:r>
      <w:r>
        <w:rPr>
          <w:rFonts w:hint="eastAsia"/>
          <w:spacing w:val="-3"/>
          <w:u w:val="single" w:color="auto"/>
          <w:lang w:val="en-US" w:eastAsia="zh-CN"/>
        </w:rPr>
        <w:t xml:space="preserve">  </w:t>
      </w:r>
      <w:r>
        <w:rPr>
          <w:spacing w:val="-3"/>
        </w:rPr>
        <w:t>_,品牌为_</w:t>
      </w:r>
      <w:r>
        <w:rPr>
          <w:rFonts w:hint="eastAsia"/>
          <w:spacing w:val="-3"/>
          <w:u w:val="single" w:color="auto"/>
          <w:lang w:val="en-US" w:eastAsia="zh-CN"/>
        </w:rPr>
        <w:t xml:space="preserve">       </w:t>
      </w:r>
      <w:r>
        <w:rPr>
          <w:i/>
          <w:iCs/>
          <w:spacing w:val="7"/>
          <w:sz w:val="23"/>
          <w:szCs w:val="23"/>
        </w:rPr>
        <w:t>。</w:t>
      </w:r>
    </w:p>
    <w:p w14:paraId="60BAC82E">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outlineLvl w:val="0"/>
      </w:pPr>
      <w:r>
        <w:rPr>
          <w:b/>
          <w:bCs/>
          <w:spacing w:val="3"/>
        </w:rPr>
        <w:t>三、租金、保证金</w:t>
      </w:r>
    </w:p>
    <w:p w14:paraId="0786E6FE">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49"/>
        <w:jc w:val="both"/>
        <w:textAlignment w:val="baseline"/>
        <w:rPr>
          <w:spacing w:val="-2"/>
        </w:rPr>
      </w:pPr>
      <w:r>
        <w:rPr>
          <w:spacing w:val="8"/>
        </w:rPr>
        <w:t>1、标的房屋租金由乙方承担支付至甲方指定收款账户。甲方收到乙方支付</w:t>
      </w:r>
      <w:r>
        <w:rPr>
          <w:spacing w:val="5"/>
        </w:rPr>
        <w:t>的租金后，应按照收款金额向乙方开具国家规定的发票。物业费按市价直</w:t>
      </w:r>
      <w:r>
        <w:rPr>
          <w:spacing w:val="4"/>
        </w:rPr>
        <w:t>接交给</w:t>
      </w:r>
      <w:r>
        <w:rPr>
          <w:spacing w:val="-2"/>
        </w:rPr>
        <w:t>物业方</w:t>
      </w:r>
      <w:r>
        <w:rPr>
          <w:rFonts w:hint="eastAsia"/>
          <w:spacing w:val="-2"/>
          <w:lang w:eastAsia="zh-CN"/>
        </w:rPr>
        <w:t>，</w:t>
      </w:r>
      <w:r>
        <w:rPr>
          <w:rFonts w:hint="eastAsia"/>
          <w:spacing w:val="-2"/>
          <w:lang w:val="en-US" w:eastAsia="zh-CN"/>
        </w:rPr>
        <w:t>具体以物业方的要求为准</w:t>
      </w:r>
      <w:r>
        <w:rPr>
          <w:spacing w:val="-2"/>
        </w:rPr>
        <w:t>。</w:t>
      </w:r>
    </w:p>
    <w:p w14:paraId="45C6BBAB">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49"/>
        <w:jc w:val="both"/>
        <w:textAlignment w:val="baseline"/>
      </w:pPr>
      <w:r>
        <w:rPr>
          <w:spacing w:val="7"/>
        </w:rPr>
        <w:t>2、租金支付</w:t>
      </w:r>
    </w:p>
    <w:p w14:paraId="362DD1D3">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99"/>
        <w:jc w:val="both"/>
        <w:textAlignment w:val="baseline"/>
        <w:rPr>
          <w:spacing w:val="7"/>
        </w:rPr>
      </w:pPr>
      <w:r>
        <w:rPr>
          <w:spacing w:val="7"/>
        </w:rPr>
        <w:t>标的房屋按照先付后用原则，由乙方按约定先行支付租金方可使用。该房屋的租金按计租面积计付，租金按</w:t>
      </w:r>
      <w:r>
        <w:rPr>
          <w:rFonts w:hint="eastAsia"/>
          <w:spacing w:val="7"/>
          <w:lang w:val="en-US" w:eastAsia="zh-CN"/>
        </w:rPr>
        <w:t xml:space="preserve">     </w:t>
      </w:r>
      <w:bookmarkStart w:id="0" w:name="_GoBack"/>
      <w:bookmarkEnd w:id="0"/>
      <w:r>
        <w:rPr>
          <w:spacing w:val="7"/>
        </w:rPr>
        <w:t>元/天/平方米计算，日租金按照每年递增</w:t>
      </w:r>
      <w:r>
        <w:rPr>
          <w:rFonts w:hint="eastAsia"/>
          <w:spacing w:val="7"/>
          <w:lang w:val="en-US" w:eastAsia="zh-CN"/>
        </w:rPr>
        <w:t>3</w:t>
      </w:r>
      <w:r>
        <w:rPr>
          <w:spacing w:val="7"/>
        </w:rPr>
        <w:t>%。</w:t>
      </w:r>
    </w:p>
    <w:p w14:paraId="66CC969F">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99"/>
        <w:jc w:val="both"/>
        <w:textAlignment w:val="baseline"/>
        <w:rPr>
          <w:spacing w:val="7"/>
        </w:rPr>
      </w:pPr>
    </w:p>
    <w:p w14:paraId="4C7C394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99"/>
        <w:jc w:val="both"/>
        <w:textAlignment w:val="baseline"/>
        <w:rPr>
          <w:spacing w:val="7"/>
        </w:rPr>
      </w:pPr>
      <w:r>
        <w:rPr>
          <w:spacing w:val="7"/>
        </w:rPr>
        <w:t>甲方和乙方确认：房屋租金支付方式为每</w:t>
      </w:r>
      <w:r>
        <w:rPr>
          <w:rFonts w:hint="eastAsia"/>
          <w:spacing w:val="7"/>
          <w:lang w:val="en-US" w:eastAsia="zh-CN"/>
        </w:rPr>
        <w:t>3</w:t>
      </w:r>
      <w:r>
        <w:rPr>
          <w:spacing w:val="7"/>
        </w:rPr>
        <w:t>个月一期支付，以此类推，此后的租金应当在上期租金到期的15天前支付，首期固定租金应于双方签约后10日内支付。各期应付租金按下列金额和付款日期执行：</w:t>
      </w:r>
    </w:p>
    <w:p w14:paraId="1376F099">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99"/>
        <w:jc w:val="both"/>
        <w:textAlignment w:val="baseline"/>
        <w:rPr>
          <w:rFonts w:hint="eastAsia"/>
          <w:spacing w:val="7"/>
        </w:rPr>
      </w:pPr>
      <w:r>
        <w:rPr>
          <w:rFonts w:hint="eastAsia"/>
          <w:spacing w:val="7"/>
        </w:rPr>
        <w:t>乙方在租赁期限内需支付甲方的租金为_</w:t>
      </w:r>
      <w:r>
        <w:rPr>
          <w:rFonts w:hint="eastAsia"/>
          <w:spacing w:val="7"/>
          <w:lang w:val="en-US" w:eastAsia="zh-CN"/>
        </w:rPr>
        <w:t xml:space="preserve">     </w:t>
      </w:r>
      <w:r>
        <w:rPr>
          <w:rFonts w:hint="eastAsia"/>
          <w:spacing w:val="7"/>
        </w:rPr>
        <w:t>元(含税)(大写:人民币_</w:t>
      </w:r>
      <w:r>
        <w:rPr>
          <w:rFonts w:hint="eastAsia"/>
          <w:spacing w:val="7"/>
          <w:lang w:val="en-US" w:eastAsia="zh-CN"/>
        </w:rPr>
        <w:t>贰</w:t>
      </w:r>
      <w:r>
        <w:rPr>
          <w:rFonts w:hint="eastAsia"/>
          <w:spacing w:val="7"/>
        </w:rPr>
        <w:t>_)</w:t>
      </w:r>
      <w:r>
        <w:rPr>
          <w:rFonts w:hint="eastAsia"/>
          <w:spacing w:val="7"/>
          <w:lang w:eastAsia="zh-CN"/>
        </w:rPr>
        <w:t>，</w:t>
      </w:r>
      <w:r>
        <w:rPr>
          <w:rFonts w:hint="eastAsia"/>
          <w:spacing w:val="7"/>
        </w:rPr>
        <w:t>不含税总价为(大写:)，增值税税率为_9%</w:t>
      </w:r>
      <w:r>
        <w:rPr>
          <w:rFonts w:hint="eastAsia"/>
          <w:spacing w:val="7"/>
          <w:lang w:eastAsia="zh-CN"/>
        </w:rPr>
        <w:t>，</w:t>
      </w:r>
      <w:r>
        <w:rPr>
          <w:rFonts w:hint="eastAsia"/>
          <w:spacing w:val="7"/>
        </w:rPr>
        <w:t>上述税率若因国家政策变动进行调整的，则以最新税率为准，但含税总价不变。各期租金、物业费支付时间见下表。甲方在收到租金、物业费后的7个工作日内向乙方开具租金发票。</w:t>
      </w:r>
    </w:p>
    <w:p w14:paraId="28E74B0F">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99"/>
        <w:jc w:val="both"/>
        <w:textAlignment w:val="baseline"/>
        <w:rPr>
          <w:spacing w:val="7"/>
        </w:rPr>
      </w:pPr>
      <w:r>
        <w:rPr>
          <w:rFonts w:hint="eastAsia"/>
          <w:spacing w:val="7"/>
        </w:rPr>
        <w:t>为免歧义，本款中所述的“月”均为自然月，即每月的第一日至最后一日，开业日所在的月为第1个自然月。</w:t>
      </w:r>
    </w:p>
    <w:tbl>
      <w:tblPr>
        <w:tblStyle w:val="6"/>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3390"/>
        <w:gridCol w:w="1119"/>
        <w:gridCol w:w="1136"/>
        <w:gridCol w:w="2261"/>
      </w:tblGrid>
      <w:tr w14:paraId="64A2B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34" w:type="dxa"/>
            <w:vAlign w:val="center"/>
          </w:tcPr>
          <w:p w14:paraId="713EF275">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期次</w:t>
            </w:r>
          </w:p>
        </w:tc>
        <w:tc>
          <w:tcPr>
            <w:tcW w:w="3390" w:type="dxa"/>
            <w:vAlign w:val="center"/>
          </w:tcPr>
          <w:p w14:paraId="5CFCB607">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对应租期</w:t>
            </w:r>
          </w:p>
        </w:tc>
        <w:tc>
          <w:tcPr>
            <w:tcW w:w="1119" w:type="dxa"/>
            <w:vAlign w:val="center"/>
          </w:tcPr>
          <w:p w14:paraId="11B0696E">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租金(元)</w:t>
            </w:r>
          </w:p>
        </w:tc>
        <w:tc>
          <w:tcPr>
            <w:tcW w:w="1136" w:type="dxa"/>
            <w:vAlign w:val="center"/>
          </w:tcPr>
          <w:p w14:paraId="07A15D4D">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物业费(元)</w:t>
            </w:r>
          </w:p>
        </w:tc>
        <w:tc>
          <w:tcPr>
            <w:tcW w:w="2261" w:type="dxa"/>
            <w:vAlign w:val="center"/>
          </w:tcPr>
          <w:p w14:paraId="0758038C">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应支付时间</w:t>
            </w:r>
          </w:p>
        </w:tc>
      </w:tr>
      <w:tr w14:paraId="6DB98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534" w:type="dxa"/>
            <w:vAlign w:val="center"/>
          </w:tcPr>
          <w:p w14:paraId="2149F203">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1</w:t>
            </w:r>
          </w:p>
        </w:tc>
        <w:tc>
          <w:tcPr>
            <w:tcW w:w="3390" w:type="dxa"/>
            <w:vAlign w:val="center"/>
          </w:tcPr>
          <w:p w14:paraId="0B339F2A">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lang w:val="en-US" w:eastAsia="zh-CN"/>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5</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25年月日</w:t>
            </w:r>
          </w:p>
        </w:tc>
        <w:tc>
          <w:tcPr>
            <w:tcW w:w="1119" w:type="dxa"/>
            <w:vAlign w:val="center"/>
          </w:tcPr>
          <w:p w14:paraId="273341A0">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1136" w:type="dxa"/>
            <w:vAlign w:val="center"/>
          </w:tcPr>
          <w:p w14:paraId="4792518D">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70072127">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5</w:t>
            </w:r>
            <w:r>
              <w:rPr>
                <w:rFonts w:hint="eastAsia" w:ascii="方正仿宋_GBK" w:hAnsi="方正仿宋_GBK" w:eastAsia="方正仿宋_GBK" w:cs="方正仿宋_GBK"/>
                <w:spacing w:val="0"/>
                <w:sz w:val="20"/>
                <w:szCs w:val="20"/>
                <w:highlight w:val="none"/>
              </w:rPr>
              <w:t>年月日前</w:t>
            </w:r>
          </w:p>
        </w:tc>
      </w:tr>
      <w:tr w14:paraId="07710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534" w:type="dxa"/>
            <w:vAlign w:val="center"/>
          </w:tcPr>
          <w:p w14:paraId="11BC4C96">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w:t>
            </w:r>
          </w:p>
        </w:tc>
        <w:tc>
          <w:tcPr>
            <w:tcW w:w="3390" w:type="dxa"/>
            <w:vAlign w:val="center"/>
          </w:tcPr>
          <w:p w14:paraId="2BBD09D2">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5</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25年月日</w:t>
            </w:r>
          </w:p>
        </w:tc>
        <w:tc>
          <w:tcPr>
            <w:tcW w:w="1119" w:type="dxa"/>
            <w:vAlign w:val="center"/>
          </w:tcPr>
          <w:p w14:paraId="6BC3F274">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default" w:ascii="方正仿宋_GBK" w:hAnsi="方正仿宋_GBK" w:eastAsia="方正仿宋_GBK" w:cs="方正仿宋_GBK"/>
                <w:spacing w:val="0"/>
                <w:sz w:val="20"/>
                <w:szCs w:val="20"/>
                <w:highlight w:val="none"/>
                <w:lang w:val="en-US" w:eastAsia="zh-CN"/>
              </w:rPr>
            </w:pPr>
          </w:p>
        </w:tc>
        <w:tc>
          <w:tcPr>
            <w:tcW w:w="1136" w:type="dxa"/>
            <w:vAlign w:val="center"/>
          </w:tcPr>
          <w:p w14:paraId="2D1A53B6">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7B761F19">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5</w:t>
            </w:r>
            <w:r>
              <w:rPr>
                <w:rFonts w:hint="eastAsia" w:ascii="方正仿宋_GBK" w:hAnsi="方正仿宋_GBK" w:eastAsia="方正仿宋_GBK" w:cs="方正仿宋_GBK"/>
                <w:spacing w:val="0"/>
                <w:sz w:val="20"/>
                <w:szCs w:val="20"/>
                <w:highlight w:val="none"/>
              </w:rPr>
              <w:t>年月日前</w:t>
            </w:r>
          </w:p>
        </w:tc>
      </w:tr>
      <w:tr w14:paraId="2460A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534" w:type="dxa"/>
            <w:vAlign w:val="center"/>
          </w:tcPr>
          <w:p w14:paraId="1A1297FA">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3</w:t>
            </w:r>
          </w:p>
        </w:tc>
        <w:tc>
          <w:tcPr>
            <w:tcW w:w="3390" w:type="dxa"/>
            <w:vAlign w:val="center"/>
          </w:tcPr>
          <w:p w14:paraId="30665B54">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5</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25年月日</w:t>
            </w:r>
          </w:p>
        </w:tc>
        <w:tc>
          <w:tcPr>
            <w:tcW w:w="1119" w:type="dxa"/>
            <w:vAlign w:val="center"/>
          </w:tcPr>
          <w:p w14:paraId="4653236A">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1136" w:type="dxa"/>
            <w:vAlign w:val="center"/>
          </w:tcPr>
          <w:p w14:paraId="0BB0791C">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41E76243">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5</w:t>
            </w:r>
            <w:r>
              <w:rPr>
                <w:rFonts w:hint="eastAsia" w:ascii="方正仿宋_GBK" w:hAnsi="方正仿宋_GBK" w:eastAsia="方正仿宋_GBK" w:cs="方正仿宋_GBK"/>
                <w:spacing w:val="0"/>
                <w:sz w:val="20"/>
                <w:szCs w:val="20"/>
                <w:highlight w:val="none"/>
              </w:rPr>
              <w:t>年月日前</w:t>
            </w:r>
          </w:p>
        </w:tc>
      </w:tr>
      <w:tr w14:paraId="72EDB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534" w:type="dxa"/>
            <w:vAlign w:val="center"/>
          </w:tcPr>
          <w:p w14:paraId="6AD425B7">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4</w:t>
            </w:r>
          </w:p>
        </w:tc>
        <w:tc>
          <w:tcPr>
            <w:tcW w:w="3390" w:type="dxa"/>
            <w:vAlign w:val="center"/>
          </w:tcPr>
          <w:p w14:paraId="76DB2A3B">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5</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26年月日</w:t>
            </w:r>
          </w:p>
        </w:tc>
        <w:tc>
          <w:tcPr>
            <w:tcW w:w="1119" w:type="dxa"/>
            <w:vAlign w:val="center"/>
          </w:tcPr>
          <w:p w14:paraId="3CBD3B62">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1136" w:type="dxa"/>
            <w:vAlign w:val="center"/>
          </w:tcPr>
          <w:p w14:paraId="7BF5BE32">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76BCBADB">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5</w:t>
            </w:r>
            <w:r>
              <w:rPr>
                <w:rFonts w:hint="eastAsia" w:ascii="方正仿宋_GBK" w:hAnsi="方正仿宋_GBK" w:eastAsia="方正仿宋_GBK" w:cs="方正仿宋_GBK"/>
                <w:spacing w:val="0"/>
                <w:sz w:val="20"/>
                <w:szCs w:val="20"/>
                <w:highlight w:val="none"/>
              </w:rPr>
              <w:t>年月日前</w:t>
            </w:r>
          </w:p>
        </w:tc>
      </w:tr>
      <w:tr w14:paraId="35BEC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534" w:type="dxa"/>
            <w:vAlign w:val="center"/>
          </w:tcPr>
          <w:p w14:paraId="06BE1A41">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5</w:t>
            </w:r>
          </w:p>
        </w:tc>
        <w:tc>
          <w:tcPr>
            <w:tcW w:w="3390" w:type="dxa"/>
            <w:vAlign w:val="center"/>
          </w:tcPr>
          <w:p w14:paraId="5C1C5134">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6</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26年月日</w:t>
            </w:r>
          </w:p>
        </w:tc>
        <w:tc>
          <w:tcPr>
            <w:tcW w:w="1119" w:type="dxa"/>
            <w:vAlign w:val="center"/>
          </w:tcPr>
          <w:p w14:paraId="600C8952">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1136" w:type="dxa"/>
            <w:vAlign w:val="center"/>
          </w:tcPr>
          <w:p w14:paraId="491A2695">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24BE54EA">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6</w:t>
            </w:r>
            <w:r>
              <w:rPr>
                <w:rFonts w:hint="eastAsia" w:ascii="方正仿宋_GBK" w:hAnsi="方正仿宋_GBK" w:eastAsia="方正仿宋_GBK" w:cs="方正仿宋_GBK"/>
                <w:spacing w:val="0"/>
                <w:sz w:val="20"/>
                <w:szCs w:val="20"/>
                <w:highlight w:val="none"/>
              </w:rPr>
              <w:t>年月日前</w:t>
            </w:r>
          </w:p>
        </w:tc>
      </w:tr>
      <w:tr w14:paraId="46C3B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534" w:type="dxa"/>
            <w:vAlign w:val="center"/>
          </w:tcPr>
          <w:p w14:paraId="602004A1">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6</w:t>
            </w:r>
          </w:p>
        </w:tc>
        <w:tc>
          <w:tcPr>
            <w:tcW w:w="3390" w:type="dxa"/>
            <w:vAlign w:val="center"/>
          </w:tcPr>
          <w:p w14:paraId="1A339C96">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6</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26年月日</w:t>
            </w:r>
          </w:p>
        </w:tc>
        <w:tc>
          <w:tcPr>
            <w:tcW w:w="1119" w:type="dxa"/>
            <w:vAlign w:val="center"/>
          </w:tcPr>
          <w:p w14:paraId="4EB3C979">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default" w:ascii="方正仿宋_GBK" w:hAnsi="方正仿宋_GBK" w:eastAsia="方正仿宋_GBK" w:cs="方正仿宋_GBK"/>
                <w:spacing w:val="0"/>
                <w:sz w:val="20"/>
                <w:szCs w:val="20"/>
                <w:highlight w:val="none"/>
                <w:lang w:val="en-US" w:eastAsia="zh-CN"/>
              </w:rPr>
            </w:pPr>
          </w:p>
        </w:tc>
        <w:tc>
          <w:tcPr>
            <w:tcW w:w="1136" w:type="dxa"/>
            <w:vAlign w:val="center"/>
          </w:tcPr>
          <w:p w14:paraId="3089F717">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08216AD1">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6</w:t>
            </w:r>
            <w:r>
              <w:rPr>
                <w:rFonts w:hint="eastAsia" w:ascii="方正仿宋_GBK" w:hAnsi="方正仿宋_GBK" w:eastAsia="方正仿宋_GBK" w:cs="方正仿宋_GBK"/>
                <w:spacing w:val="0"/>
                <w:sz w:val="20"/>
                <w:szCs w:val="20"/>
                <w:highlight w:val="none"/>
              </w:rPr>
              <w:t>年月日前</w:t>
            </w:r>
          </w:p>
        </w:tc>
      </w:tr>
      <w:tr w14:paraId="3EBF3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534" w:type="dxa"/>
            <w:vAlign w:val="center"/>
          </w:tcPr>
          <w:p w14:paraId="70EAFCDC">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7</w:t>
            </w:r>
          </w:p>
        </w:tc>
        <w:tc>
          <w:tcPr>
            <w:tcW w:w="3390" w:type="dxa"/>
            <w:vAlign w:val="center"/>
          </w:tcPr>
          <w:p w14:paraId="137598FA">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6</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26年月日</w:t>
            </w:r>
          </w:p>
        </w:tc>
        <w:tc>
          <w:tcPr>
            <w:tcW w:w="1119" w:type="dxa"/>
            <w:vAlign w:val="center"/>
          </w:tcPr>
          <w:p w14:paraId="726F5974">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1136" w:type="dxa"/>
            <w:vAlign w:val="center"/>
          </w:tcPr>
          <w:p w14:paraId="03799DF9">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67FB7F05">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6</w:t>
            </w:r>
            <w:r>
              <w:rPr>
                <w:rFonts w:hint="eastAsia" w:ascii="方正仿宋_GBK" w:hAnsi="方正仿宋_GBK" w:eastAsia="方正仿宋_GBK" w:cs="方正仿宋_GBK"/>
                <w:spacing w:val="0"/>
                <w:sz w:val="20"/>
                <w:szCs w:val="20"/>
                <w:highlight w:val="none"/>
              </w:rPr>
              <w:t>年月日前</w:t>
            </w:r>
          </w:p>
        </w:tc>
      </w:tr>
      <w:tr w14:paraId="72986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534" w:type="dxa"/>
            <w:vAlign w:val="center"/>
          </w:tcPr>
          <w:p w14:paraId="18D5D23C">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lang w:val="en-US" w:eastAsia="zh-CN"/>
              </w:rPr>
            </w:pPr>
            <w:r>
              <w:rPr>
                <w:rFonts w:hint="eastAsia" w:ascii="方正仿宋_GBK" w:hAnsi="方正仿宋_GBK" w:eastAsia="方正仿宋_GBK" w:cs="方正仿宋_GBK"/>
                <w:spacing w:val="0"/>
                <w:sz w:val="20"/>
                <w:szCs w:val="20"/>
                <w:highlight w:val="none"/>
                <w:lang w:val="en-US" w:eastAsia="zh-CN"/>
              </w:rPr>
              <w:t>8</w:t>
            </w:r>
          </w:p>
        </w:tc>
        <w:tc>
          <w:tcPr>
            <w:tcW w:w="3390" w:type="dxa"/>
            <w:vAlign w:val="center"/>
          </w:tcPr>
          <w:p w14:paraId="0C14FDB3">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6</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27年月日</w:t>
            </w:r>
          </w:p>
        </w:tc>
        <w:tc>
          <w:tcPr>
            <w:tcW w:w="1119" w:type="dxa"/>
            <w:vAlign w:val="center"/>
          </w:tcPr>
          <w:p w14:paraId="611257EA">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1136" w:type="dxa"/>
            <w:vAlign w:val="center"/>
          </w:tcPr>
          <w:p w14:paraId="2199CB5B">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b/>
                <w:bCs/>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20C58B64">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6</w:t>
            </w:r>
            <w:r>
              <w:rPr>
                <w:rFonts w:hint="eastAsia" w:ascii="方正仿宋_GBK" w:hAnsi="方正仿宋_GBK" w:eastAsia="方正仿宋_GBK" w:cs="方正仿宋_GBK"/>
                <w:spacing w:val="0"/>
                <w:sz w:val="20"/>
                <w:szCs w:val="20"/>
                <w:highlight w:val="none"/>
              </w:rPr>
              <w:t>年月日前</w:t>
            </w:r>
          </w:p>
        </w:tc>
      </w:tr>
      <w:tr w14:paraId="21BFD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534" w:type="dxa"/>
            <w:vAlign w:val="center"/>
          </w:tcPr>
          <w:p w14:paraId="05003FFD">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lang w:val="en-US" w:eastAsia="zh-CN"/>
              </w:rPr>
            </w:pPr>
            <w:r>
              <w:rPr>
                <w:rFonts w:hint="eastAsia" w:ascii="方正仿宋_GBK" w:hAnsi="方正仿宋_GBK" w:eastAsia="方正仿宋_GBK" w:cs="方正仿宋_GBK"/>
                <w:spacing w:val="0"/>
                <w:sz w:val="20"/>
                <w:szCs w:val="20"/>
                <w:highlight w:val="none"/>
                <w:lang w:val="en-US" w:eastAsia="zh-CN"/>
              </w:rPr>
              <w:t>9</w:t>
            </w:r>
          </w:p>
        </w:tc>
        <w:tc>
          <w:tcPr>
            <w:tcW w:w="3390" w:type="dxa"/>
            <w:vAlign w:val="center"/>
          </w:tcPr>
          <w:p w14:paraId="658C9BA2">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7</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27年月日</w:t>
            </w:r>
          </w:p>
        </w:tc>
        <w:tc>
          <w:tcPr>
            <w:tcW w:w="1119" w:type="dxa"/>
            <w:vAlign w:val="center"/>
          </w:tcPr>
          <w:p w14:paraId="1A80A447">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default" w:ascii="方正仿宋_GBK" w:hAnsi="方正仿宋_GBK" w:eastAsia="方正仿宋_GBK" w:cs="方正仿宋_GBK"/>
                <w:spacing w:val="0"/>
                <w:sz w:val="20"/>
                <w:szCs w:val="20"/>
                <w:highlight w:val="none"/>
                <w:lang w:val="en-US" w:eastAsia="zh-CN"/>
              </w:rPr>
            </w:pPr>
          </w:p>
        </w:tc>
        <w:tc>
          <w:tcPr>
            <w:tcW w:w="1136" w:type="dxa"/>
            <w:vAlign w:val="center"/>
          </w:tcPr>
          <w:p w14:paraId="25C00347">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0111EAE7">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7</w:t>
            </w:r>
            <w:r>
              <w:rPr>
                <w:rFonts w:hint="eastAsia" w:ascii="方正仿宋_GBK" w:hAnsi="方正仿宋_GBK" w:eastAsia="方正仿宋_GBK" w:cs="方正仿宋_GBK"/>
                <w:spacing w:val="0"/>
                <w:sz w:val="20"/>
                <w:szCs w:val="20"/>
                <w:highlight w:val="none"/>
              </w:rPr>
              <w:t>年月日前</w:t>
            </w:r>
          </w:p>
        </w:tc>
      </w:tr>
      <w:tr w14:paraId="63AD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534" w:type="dxa"/>
            <w:vAlign w:val="center"/>
          </w:tcPr>
          <w:p w14:paraId="0742451D">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default" w:ascii="方正仿宋_GBK" w:hAnsi="方正仿宋_GBK" w:eastAsia="方正仿宋_GBK" w:cs="方正仿宋_GBK"/>
                <w:spacing w:val="0"/>
                <w:sz w:val="20"/>
                <w:szCs w:val="20"/>
                <w:highlight w:val="none"/>
                <w:lang w:val="en-US" w:eastAsia="zh-CN"/>
              </w:rPr>
            </w:pPr>
            <w:r>
              <w:rPr>
                <w:rFonts w:hint="eastAsia" w:ascii="方正仿宋_GBK" w:hAnsi="方正仿宋_GBK" w:eastAsia="方正仿宋_GBK" w:cs="方正仿宋_GBK"/>
                <w:spacing w:val="0"/>
                <w:sz w:val="20"/>
                <w:szCs w:val="20"/>
                <w:highlight w:val="none"/>
                <w:lang w:val="en-US" w:eastAsia="zh-CN"/>
              </w:rPr>
              <w:t>10</w:t>
            </w:r>
          </w:p>
        </w:tc>
        <w:tc>
          <w:tcPr>
            <w:tcW w:w="3390" w:type="dxa"/>
            <w:vAlign w:val="center"/>
          </w:tcPr>
          <w:p w14:paraId="25327569">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7</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27年月日</w:t>
            </w:r>
          </w:p>
        </w:tc>
        <w:tc>
          <w:tcPr>
            <w:tcW w:w="1119" w:type="dxa"/>
            <w:vAlign w:val="center"/>
          </w:tcPr>
          <w:p w14:paraId="4F97867C">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1136" w:type="dxa"/>
            <w:vAlign w:val="center"/>
          </w:tcPr>
          <w:p w14:paraId="45943348">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06E94219">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7</w:t>
            </w:r>
            <w:r>
              <w:rPr>
                <w:rFonts w:hint="eastAsia" w:ascii="方正仿宋_GBK" w:hAnsi="方正仿宋_GBK" w:eastAsia="方正仿宋_GBK" w:cs="方正仿宋_GBK"/>
                <w:spacing w:val="0"/>
                <w:sz w:val="20"/>
                <w:szCs w:val="20"/>
                <w:highlight w:val="none"/>
              </w:rPr>
              <w:t>年月日前</w:t>
            </w:r>
          </w:p>
        </w:tc>
      </w:tr>
      <w:tr w14:paraId="1A82D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534" w:type="dxa"/>
            <w:vAlign w:val="center"/>
          </w:tcPr>
          <w:p w14:paraId="43B8854F">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default" w:ascii="方正仿宋_GBK" w:hAnsi="方正仿宋_GBK" w:eastAsia="方正仿宋_GBK" w:cs="方正仿宋_GBK"/>
                <w:spacing w:val="0"/>
                <w:sz w:val="20"/>
                <w:szCs w:val="20"/>
                <w:highlight w:val="none"/>
                <w:lang w:val="en-US" w:eastAsia="zh-CN"/>
              </w:rPr>
            </w:pPr>
            <w:r>
              <w:rPr>
                <w:rFonts w:hint="eastAsia" w:ascii="方正仿宋_GBK" w:hAnsi="方正仿宋_GBK" w:eastAsia="方正仿宋_GBK" w:cs="方正仿宋_GBK"/>
                <w:spacing w:val="0"/>
                <w:sz w:val="20"/>
                <w:szCs w:val="20"/>
                <w:highlight w:val="none"/>
                <w:lang w:val="en-US" w:eastAsia="zh-CN"/>
              </w:rPr>
              <w:t>11</w:t>
            </w:r>
          </w:p>
        </w:tc>
        <w:tc>
          <w:tcPr>
            <w:tcW w:w="3390" w:type="dxa"/>
            <w:vAlign w:val="center"/>
          </w:tcPr>
          <w:p w14:paraId="5C580C4F">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7</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27年月日</w:t>
            </w:r>
          </w:p>
        </w:tc>
        <w:tc>
          <w:tcPr>
            <w:tcW w:w="1119" w:type="dxa"/>
            <w:vAlign w:val="center"/>
          </w:tcPr>
          <w:p w14:paraId="13E6A115">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1136" w:type="dxa"/>
            <w:vAlign w:val="center"/>
          </w:tcPr>
          <w:p w14:paraId="75F07479">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3FA5D6ED">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7</w:t>
            </w:r>
            <w:r>
              <w:rPr>
                <w:rFonts w:hint="eastAsia" w:ascii="方正仿宋_GBK" w:hAnsi="方正仿宋_GBK" w:eastAsia="方正仿宋_GBK" w:cs="方正仿宋_GBK"/>
                <w:spacing w:val="0"/>
                <w:sz w:val="20"/>
                <w:szCs w:val="20"/>
                <w:highlight w:val="none"/>
              </w:rPr>
              <w:t>年月日前</w:t>
            </w:r>
          </w:p>
        </w:tc>
      </w:tr>
      <w:tr w14:paraId="51E3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534" w:type="dxa"/>
            <w:vAlign w:val="center"/>
          </w:tcPr>
          <w:p w14:paraId="2AEE23CD">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default" w:ascii="方正仿宋_GBK" w:hAnsi="方正仿宋_GBK" w:eastAsia="方正仿宋_GBK" w:cs="方正仿宋_GBK"/>
                <w:spacing w:val="0"/>
                <w:sz w:val="20"/>
                <w:szCs w:val="20"/>
                <w:highlight w:val="none"/>
                <w:lang w:val="en-US" w:eastAsia="zh-CN"/>
              </w:rPr>
            </w:pPr>
            <w:r>
              <w:rPr>
                <w:rFonts w:hint="eastAsia" w:ascii="方正仿宋_GBK" w:hAnsi="方正仿宋_GBK" w:eastAsia="方正仿宋_GBK" w:cs="方正仿宋_GBK"/>
                <w:spacing w:val="0"/>
                <w:sz w:val="20"/>
                <w:szCs w:val="20"/>
                <w:highlight w:val="none"/>
                <w:lang w:val="en-US" w:eastAsia="zh-CN"/>
              </w:rPr>
              <w:t>12</w:t>
            </w:r>
          </w:p>
        </w:tc>
        <w:tc>
          <w:tcPr>
            <w:tcW w:w="3390" w:type="dxa"/>
            <w:vAlign w:val="center"/>
          </w:tcPr>
          <w:p w14:paraId="1D50F2FD">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napToGrid w:val="0"/>
                <w:color w:val="000000"/>
                <w:spacing w:val="0"/>
                <w:kern w:val="0"/>
                <w:sz w:val="20"/>
                <w:szCs w:val="20"/>
                <w:highlight w:val="none"/>
                <w:lang w:val="en-US" w:eastAsia="en-US" w:bidi="ar-SA"/>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7</w:t>
            </w:r>
            <w:r>
              <w:rPr>
                <w:rFonts w:hint="eastAsia" w:ascii="方正仿宋_GBK" w:hAnsi="方正仿宋_GBK" w:eastAsia="方正仿宋_GBK" w:cs="方正仿宋_GBK"/>
                <w:spacing w:val="0"/>
                <w:sz w:val="20"/>
                <w:szCs w:val="20"/>
                <w:highlight w:val="none"/>
                <w:lang w:eastAsia="zh-CN"/>
              </w:rPr>
              <w:t>年月</w:t>
            </w:r>
            <w:r>
              <w:rPr>
                <w:rFonts w:hint="eastAsia" w:ascii="方正仿宋_GBK" w:hAnsi="方正仿宋_GBK" w:eastAsia="方正仿宋_GBK" w:cs="方正仿宋_GBK"/>
                <w:spacing w:val="0"/>
                <w:sz w:val="20"/>
                <w:szCs w:val="20"/>
                <w:highlight w:val="none"/>
                <w:lang w:val="en-US" w:eastAsia="zh-CN"/>
              </w:rPr>
              <w:t>日至</w:t>
            </w:r>
            <w:r>
              <w:rPr>
                <w:rFonts w:hint="eastAsia" w:ascii="方正仿宋_GBK" w:hAnsi="方正仿宋_GBK" w:eastAsia="方正仿宋_GBK" w:cs="方正仿宋_GBK"/>
                <w:spacing w:val="0"/>
                <w:sz w:val="20"/>
                <w:szCs w:val="20"/>
                <w:highlight w:val="none"/>
              </w:rPr>
              <w:t>20</w:t>
            </w:r>
            <w:r>
              <w:rPr>
                <w:rFonts w:hint="eastAsia" w:ascii="方正仿宋_GBK" w:hAnsi="方正仿宋_GBK" w:eastAsia="方正仿宋_GBK" w:cs="方正仿宋_GBK"/>
                <w:spacing w:val="0"/>
                <w:sz w:val="20"/>
                <w:szCs w:val="20"/>
                <w:highlight w:val="none"/>
                <w:lang w:val="en-US" w:eastAsia="zh-CN"/>
              </w:rPr>
              <w:t>28年月日</w:t>
            </w:r>
          </w:p>
        </w:tc>
        <w:tc>
          <w:tcPr>
            <w:tcW w:w="1119" w:type="dxa"/>
            <w:vAlign w:val="center"/>
          </w:tcPr>
          <w:p w14:paraId="3D655EC3">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1136" w:type="dxa"/>
            <w:vAlign w:val="center"/>
          </w:tcPr>
          <w:p w14:paraId="0FD170D6">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按市价</w:t>
            </w:r>
          </w:p>
        </w:tc>
        <w:tc>
          <w:tcPr>
            <w:tcW w:w="2261" w:type="dxa"/>
            <w:vAlign w:val="center"/>
          </w:tcPr>
          <w:p w14:paraId="5A38375B">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r>
              <w:rPr>
                <w:rFonts w:hint="eastAsia" w:ascii="方正仿宋_GBK" w:hAnsi="方正仿宋_GBK" w:eastAsia="方正仿宋_GBK" w:cs="方正仿宋_GBK"/>
                <w:spacing w:val="0"/>
                <w:sz w:val="20"/>
                <w:szCs w:val="20"/>
                <w:highlight w:val="none"/>
              </w:rPr>
              <w:t>202</w:t>
            </w:r>
            <w:r>
              <w:rPr>
                <w:rFonts w:hint="eastAsia" w:ascii="方正仿宋_GBK" w:hAnsi="方正仿宋_GBK" w:eastAsia="方正仿宋_GBK" w:cs="方正仿宋_GBK"/>
                <w:spacing w:val="0"/>
                <w:sz w:val="20"/>
                <w:szCs w:val="20"/>
                <w:highlight w:val="none"/>
                <w:lang w:val="en-US" w:eastAsia="zh-CN"/>
              </w:rPr>
              <w:t>7</w:t>
            </w:r>
            <w:r>
              <w:rPr>
                <w:rFonts w:hint="eastAsia" w:ascii="方正仿宋_GBK" w:hAnsi="方正仿宋_GBK" w:eastAsia="方正仿宋_GBK" w:cs="方正仿宋_GBK"/>
                <w:spacing w:val="0"/>
                <w:sz w:val="20"/>
                <w:szCs w:val="20"/>
                <w:highlight w:val="none"/>
              </w:rPr>
              <w:t>年月日前</w:t>
            </w:r>
          </w:p>
        </w:tc>
      </w:tr>
      <w:tr w14:paraId="6A743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534" w:type="dxa"/>
            <w:vAlign w:val="center"/>
          </w:tcPr>
          <w:p w14:paraId="09606DD3">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lang w:val="en-US" w:eastAsia="zh-CN"/>
              </w:rPr>
            </w:pPr>
          </w:p>
        </w:tc>
        <w:tc>
          <w:tcPr>
            <w:tcW w:w="3390" w:type="dxa"/>
            <w:vAlign w:val="center"/>
          </w:tcPr>
          <w:p w14:paraId="53E87213">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0" w:rightChars="0"/>
              <w:jc w:val="center"/>
              <w:textAlignment w:val="baseline"/>
              <w:rPr>
                <w:rFonts w:hint="eastAsia" w:ascii="方正仿宋_GBK" w:hAnsi="方正仿宋_GBK" w:eastAsia="方正仿宋_GBK" w:cs="方正仿宋_GBK"/>
                <w:spacing w:val="0"/>
                <w:sz w:val="20"/>
                <w:szCs w:val="20"/>
                <w:highlight w:val="none"/>
              </w:rPr>
            </w:pPr>
          </w:p>
        </w:tc>
        <w:tc>
          <w:tcPr>
            <w:tcW w:w="1119" w:type="dxa"/>
            <w:vAlign w:val="center"/>
          </w:tcPr>
          <w:p w14:paraId="605716C6">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default" w:ascii="方正仿宋_GBK" w:hAnsi="方正仿宋_GBK" w:eastAsia="方正仿宋_GBK" w:cs="方正仿宋_GBK"/>
                <w:spacing w:val="0"/>
                <w:sz w:val="20"/>
                <w:szCs w:val="20"/>
                <w:highlight w:val="none"/>
                <w:lang w:val="en-US" w:eastAsia="zh-CN"/>
              </w:rPr>
            </w:pPr>
          </w:p>
        </w:tc>
        <w:tc>
          <w:tcPr>
            <w:tcW w:w="1136" w:type="dxa"/>
            <w:vAlign w:val="center"/>
          </w:tcPr>
          <w:p w14:paraId="61EB0ACD">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c>
          <w:tcPr>
            <w:tcW w:w="2261" w:type="dxa"/>
            <w:vAlign w:val="center"/>
          </w:tcPr>
          <w:p w14:paraId="53911C9B">
            <w:pPr>
              <w:pStyle w:val="7"/>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jc w:val="center"/>
              <w:textAlignment w:val="baseline"/>
              <w:rPr>
                <w:rFonts w:hint="eastAsia" w:ascii="方正仿宋_GBK" w:hAnsi="方正仿宋_GBK" w:eastAsia="方正仿宋_GBK" w:cs="方正仿宋_GBK"/>
                <w:spacing w:val="0"/>
                <w:sz w:val="20"/>
                <w:szCs w:val="20"/>
                <w:highlight w:val="none"/>
              </w:rPr>
            </w:pPr>
          </w:p>
        </w:tc>
      </w:tr>
    </w:tbl>
    <w:p w14:paraId="21E9AF13">
      <w:pPr>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rFonts w:ascii="Arial"/>
          <w:sz w:val="21"/>
        </w:rPr>
      </w:pPr>
    </w:p>
    <w:p w14:paraId="5F1770BB">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49"/>
        <w:jc w:val="both"/>
        <w:textAlignment w:val="baseline"/>
        <w:rPr>
          <w:spacing w:val="5"/>
        </w:rPr>
      </w:pPr>
      <w:r>
        <w:rPr>
          <w:spacing w:val="5"/>
        </w:rPr>
        <w:t>注：如本合同因乙方原因提前解除，则视为乙方自始不享有免租期优惠</w:t>
      </w:r>
      <w:r>
        <w:rPr>
          <w:rFonts w:hint="eastAsia"/>
          <w:spacing w:val="5"/>
          <w:lang w:eastAsia="zh-CN"/>
        </w:rPr>
        <w:t>（</w:t>
      </w:r>
      <w:r>
        <w:rPr>
          <w:rFonts w:hint="eastAsia"/>
          <w:spacing w:val="5"/>
          <w:lang w:val="en-US" w:eastAsia="zh-CN"/>
        </w:rPr>
        <w:t>如有）</w:t>
      </w:r>
      <w:r>
        <w:rPr>
          <w:spacing w:val="5"/>
        </w:rPr>
        <w:t>。</w:t>
      </w:r>
    </w:p>
    <w:p w14:paraId="679CF9F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49"/>
        <w:jc w:val="both"/>
        <w:textAlignment w:val="baseline"/>
      </w:pPr>
      <w:r>
        <w:rPr>
          <w:spacing w:val="10"/>
        </w:rPr>
        <w:t>3、乙方经营所需的水、电、煤气、空调、通讯、</w:t>
      </w:r>
      <w:r>
        <w:rPr>
          <w:spacing w:val="9"/>
        </w:rPr>
        <w:t>能源损耗、能耗管理费等</w:t>
      </w:r>
    </w:p>
    <w:p w14:paraId="10F82C1D">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rFonts w:hint="default" w:eastAsia="仿宋"/>
          <w:lang w:val="en-US" w:eastAsia="zh-CN"/>
        </w:rPr>
      </w:pPr>
      <w:r>
        <w:rPr>
          <w:spacing w:val="4"/>
        </w:rPr>
        <w:t>一切费用由乙方自行承担</w:t>
      </w:r>
      <w:r>
        <w:rPr>
          <w:rFonts w:hint="eastAsia"/>
          <w:spacing w:val="4"/>
          <w:lang w:eastAsia="zh-CN"/>
        </w:rPr>
        <w:t>，</w:t>
      </w:r>
      <w:r>
        <w:rPr>
          <w:rFonts w:hint="eastAsia"/>
          <w:spacing w:val="4"/>
          <w:lang w:val="en-US" w:eastAsia="zh-CN"/>
        </w:rPr>
        <w:t>免租期内前述费用仍由乙方自行承担</w:t>
      </w:r>
      <w:r>
        <w:rPr>
          <w:spacing w:val="4"/>
        </w:rPr>
        <w:t>。</w:t>
      </w:r>
    </w:p>
    <w:p w14:paraId="0FA11569">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49"/>
        <w:jc w:val="both"/>
        <w:textAlignment w:val="baseline"/>
        <w:rPr>
          <w:spacing w:val="10"/>
        </w:rPr>
      </w:pPr>
      <w:r>
        <w:rPr>
          <w:spacing w:val="10"/>
        </w:rPr>
        <w:t>4、保证金</w:t>
      </w:r>
    </w:p>
    <w:p w14:paraId="245CC512">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72" w:firstLineChars="200"/>
        <w:jc w:val="both"/>
        <w:textAlignment w:val="baseline"/>
        <w:rPr>
          <w:spacing w:val="17"/>
        </w:rPr>
      </w:pPr>
      <w:r>
        <w:rPr>
          <w:spacing w:val="8"/>
        </w:rPr>
        <w:t>为保证本合同的履行，乙方自愿在本合同签订后3日内向甲方缴纳履约保证</w:t>
      </w:r>
      <w:r>
        <w:rPr>
          <w:spacing w:val="1"/>
        </w:rPr>
        <w:t>金</w:t>
      </w:r>
      <w:r>
        <w:rPr>
          <w:spacing w:val="1"/>
          <w:highlight w:val="none"/>
        </w:rPr>
        <w:t>人民币</w:t>
      </w:r>
      <w:r>
        <w:rPr>
          <w:rFonts w:hint="eastAsia"/>
          <w:spacing w:val="1"/>
          <w:highlight w:val="none"/>
          <w:lang w:val="en-US" w:eastAsia="zh-CN"/>
        </w:rPr>
        <w:t xml:space="preserve">        </w:t>
      </w:r>
      <w:r>
        <w:rPr>
          <w:rFonts w:hint="eastAsia" w:ascii="方正仿宋_GBK" w:hAnsi="方正仿宋_GBK" w:eastAsia="方正仿宋_GBK" w:cs="方正仿宋_GBK"/>
          <w:b w:val="0"/>
          <w:bCs w:val="0"/>
          <w:spacing w:val="1"/>
          <w:highlight w:val="none"/>
          <w:u w:val="single" w:color="auto"/>
          <w:lang w:val="en-US" w:eastAsia="zh-CN"/>
        </w:rPr>
        <w:t xml:space="preserve"> </w:t>
      </w:r>
      <w:r>
        <w:rPr>
          <w:spacing w:val="1"/>
          <w:highlight w:val="none"/>
        </w:rPr>
        <w:t>元</w:t>
      </w:r>
      <w:r>
        <w:rPr>
          <w:rFonts w:hint="eastAsia"/>
          <w:spacing w:val="1"/>
          <w:highlight w:val="none"/>
          <w:lang w:eastAsia="zh-CN"/>
        </w:rPr>
        <w:t>（</w:t>
      </w:r>
      <w:r>
        <w:rPr>
          <w:spacing w:val="1"/>
          <w:highlight w:val="none"/>
        </w:rPr>
        <w:t>大写：</w:t>
      </w:r>
      <w:r>
        <w:rPr>
          <w:rFonts w:hint="eastAsia"/>
          <w:spacing w:val="1"/>
          <w:highlight w:val="none"/>
          <w:u w:val="single" w:color="auto"/>
          <w:lang w:val="en-US" w:eastAsia="zh-CN"/>
        </w:rPr>
        <w:t xml:space="preserve">             </w:t>
      </w:r>
      <w:r>
        <w:rPr>
          <w:rFonts w:hint="eastAsia"/>
          <w:spacing w:val="1"/>
          <w:highlight w:val="none"/>
          <w:lang w:eastAsia="zh-CN"/>
        </w:rPr>
        <w:t>）</w:t>
      </w:r>
      <w:r>
        <w:rPr>
          <w:rFonts w:hint="eastAsia"/>
          <w:spacing w:val="1"/>
          <w:highlight w:val="none"/>
          <w:u w:val="single" w:color="auto"/>
        </w:rPr>
        <w:t>‌‌</w:t>
      </w:r>
      <w:r>
        <w:rPr>
          <w:spacing w:val="1"/>
          <w:highlight w:val="none"/>
        </w:rPr>
        <w:t>。甲方收到</w:t>
      </w:r>
      <w:r>
        <w:rPr>
          <w:spacing w:val="1"/>
        </w:rPr>
        <w:t>该保证</w:t>
      </w:r>
      <w:r>
        <w:rPr>
          <w:spacing w:val="6"/>
        </w:rPr>
        <w:t>金后应向乙方出具收款凭证。若乙方按约履行本合同无任何违约行为，则在本合</w:t>
      </w:r>
      <w:r>
        <w:rPr>
          <w:spacing w:val="5"/>
        </w:rPr>
        <w:t>同终止或解除乙方交清所有水、电、物业等相关费用并将相关公司注册地址迁出</w:t>
      </w:r>
      <w:r>
        <w:rPr>
          <w:spacing w:val="17"/>
        </w:rPr>
        <w:t>后，甲方在10个工作日内将该保证金退还给乙方(不计利息)。</w:t>
      </w:r>
    </w:p>
    <w:p w14:paraId="5A8987D3">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pPr>
      <w:r>
        <w:rPr>
          <w:spacing w:val="4"/>
        </w:rPr>
        <w:t>若本合同期内，乙方有任何不付或逾期支付包括但不限于租金、物业费、电费、水费、公共能耗费、违约金、对第三方侵权损害赔偿费等违约行为或其他行</w:t>
      </w:r>
      <w:r>
        <w:rPr>
          <w:spacing w:val="5"/>
        </w:rPr>
        <w:t>为，甲方均有权从该履约保证金中直接扣除；若该保证金不足于赔偿损失的，应</w:t>
      </w:r>
      <w:r>
        <w:rPr>
          <w:spacing w:val="10"/>
        </w:rPr>
        <w:t>当另行补足。甲方扣除该保证金后，有权书面通知乙方在10个工作日内补足保</w:t>
      </w:r>
      <w:r>
        <w:rPr>
          <w:spacing w:val="12"/>
        </w:rPr>
        <w:t>证金差额，否则乙方应按差额1‰/天向甲方支付逾</w:t>
      </w:r>
      <w:r>
        <w:rPr>
          <w:spacing w:val="11"/>
        </w:rPr>
        <w:t>期违约金。乙方拒绝补足或</w:t>
      </w:r>
      <w:r>
        <w:rPr>
          <w:spacing w:val="5"/>
        </w:rPr>
        <w:t>不按期补足的，视为乙方严重违约，甲方有权单方面通知乙方终止本合同并要求</w:t>
      </w:r>
      <w:r>
        <w:rPr>
          <w:spacing w:val="7"/>
        </w:rPr>
        <w:t>乙方承担违约责任支付违约金并赔偿甲方相当于三个月</w:t>
      </w:r>
      <w:r>
        <w:rPr>
          <w:spacing w:val="6"/>
        </w:rPr>
        <w:t>的标的房屋空置损失。</w:t>
      </w:r>
    </w:p>
    <w:p w14:paraId="19BBC8C9">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rPr>
          <w:spacing w:val="4"/>
        </w:rPr>
      </w:pPr>
      <w:r>
        <w:rPr>
          <w:spacing w:val="4"/>
        </w:rPr>
        <w:t>5、甲方指定收款账户信息如下：</w:t>
      </w:r>
    </w:p>
    <w:p w14:paraId="72471E4F">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rPr>
          <w:spacing w:val="4"/>
        </w:rPr>
      </w:pPr>
      <w:r>
        <w:rPr>
          <w:spacing w:val="4"/>
        </w:rPr>
        <w:t>收款账户：杭州文三数字生活街区运营管理有限公司</w:t>
      </w:r>
    </w:p>
    <w:p w14:paraId="65C17C44">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rPr>
          <w:spacing w:val="4"/>
        </w:rPr>
      </w:pPr>
      <w:r>
        <w:rPr>
          <w:spacing w:val="4"/>
        </w:rPr>
        <w:t>开户行：</w:t>
      </w:r>
      <w:r>
        <w:rPr>
          <w:rFonts w:hint="eastAsia"/>
          <w:spacing w:val="4"/>
        </w:rPr>
        <w:t>中国农业银行杭州城西支行</w:t>
      </w:r>
    </w:p>
    <w:p w14:paraId="528DF71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rPr>
          <w:spacing w:val="4"/>
        </w:rPr>
      </w:pPr>
      <w:r>
        <w:rPr>
          <w:spacing w:val="4"/>
        </w:rPr>
        <w:t>账号：</w:t>
      </w:r>
      <w:r>
        <w:rPr>
          <w:rFonts w:hint="eastAsia"/>
          <w:spacing w:val="4"/>
        </w:rPr>
        <w:t>19020101040056246</w:t>
      </w:r>
    </w:p>
    <w:p w14:paraId="502BAF96">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outlineLvl w:val="0"/>
      </w:pPr>
      <w:r>
        <w:rPr>
          <w:b/>
          <w:bCs/>
          <w:spacing w:val="-12"/>
        </w:rPr>
        <w:t>四、其他费用</w:t>
      </w:r>
    </w:p>
    <w:p w14:paraId="30E9857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pPr>
      <w:r>
        <w:rPr>
          <w:spacing w:val="9"/>
        </w:rPr>
        <w:t>1、乙方生产经营中产生的除上述应向甲方缴纳</w:t>
      </w:r>
      <w:r>
        <w:rPr>
          <w:spacing w:val="8"/>
        </w:rPr>
        <w:t>的费用外的其他费用，由乙</w:t>
      </w:r>
      <w:r>
        <w:rPr>
          <w:spacing w:val="6"/>
        </w:rPr>
        <w:t>方自行承担并按实向相关主体缴纳或支付。</w:t>
      </w:r>
    </w:p>
    <w:p w14:paraId="76CF3823">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outlineLvl w:val="0"/>
      </w:pPr>
      <w:r>
        <w:rPr>
          <w:b/>
          <w:bCs/>
          <w:spacing w:val="4"/>
        </w:rPr>
        <w:t>五、双方的权利义务</w:t>
      </w:r>
    </w:p>
    <w:p w14:paraId="4379E2D1">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pPr>
      <w:r>
        <w:rPr>
          <w:rFonts w:ascii="宋体" w:hAnsi="宋体" w:eastAsia="宋体" w:cs="宋体"/>
          <w:spacing w:val="8"/>
        </w:rPr>
        <w:t>1、</w:t>
      </w:r>
      <w:r>
        <w:rPr>
          <w:spacing w:val="8"/>
        </w:rPr>
        <w:t>甲方保证具有出租该房屋的合法权利，甲方对租赁场所有直接管理权和</w:t>
      </w:r>
      <w:r>
        <w:rPr>
          <w:spacing w:val="5"/>
        </w:rPr>
        <w:t>对乙方经营范围的监督权，乙方如有违反国家政策法规及卫生、治安等条例的行</w:t>
      </w:r>
      <w:r>
        <w:rPr>
          <w:spacing w:val="6"/>
        </w:rPr>
        <w:t>为，甲方可视情节轻重，责令其整改及停业</w:t>
      </w:r>
      <w:r>
        <w:rPr>
          <w:spacing w:val="5"/>
        </w:rPr>
        <w:t>整顿。</w:t>
      </w:r>
    </w:p>
    <w:p w14:paraId="20D52211">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72" w:firstLineChars="200"/>
        <w:jc w:val="both"/>
        <w:textAlignment w:val="baseline"/>
      </w:pPr>
      <w:r>
        <w:rPr>
          <w:spacing w:val="8"/>
        </w:rPr>
        <w:t>2、甲方应保证在租赁期内，该房屋可以被</w:t>
      </w:r>
      <w:r>
        <w:rPr>
          <w:spacing w:val="7"/>
        </w:rPr>
        <w:t>安全、正常使用。</w:t>
      </w:r>
    </w:p>
    <w:p w14:paraId="3CC3D77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pPr>
      <w:r>
        <w:rPr>
          <w:spacing w:val="9"/>
        </w:rPr>
        <w:t>3、乙方同意：在签署租赁合同前，如为新注册公司等法人实体，应当在合</w:t>
      </w:r>
      <w:r>
        <w:rPr>
          <w:spacing w:val="8"/>
        </w:rPr>
        <w:t>同签署前，提供法人身份证明材料(包括但不限于营业执照、章程和法定代表人</w:t>
      </w:r>
      <w:r>
        <w:rPr>
          <w:spacing w:val="18"/>
        </w:rPr>
        <w:t>及股东的身份证明文件复印件(原件核对),以下同)给甲方，</w:t>
      </w:r>
      <w:r>
        <w:rPr>
          <w:spacing w:val="17"/>
        </w:rPr>
        <w:t>如在签署前尚未</w:t>
      </w:r>
      <w:r>
        <w:rPr>
          <w:spacing w:val="5"/>
        </w:rPr>
        <w:t>注册，则应先提供拟定的法定代表人和代办注册登记代理人的个人身份证复印件</w:t>
      </w:r>
      <w:r>
        <w:rPr>
          <w:spacing w:val="15"/>
        </w:rPr>
        <w:t>(原件核对),并在注册完成后3日内向甲方提交上述法人身份证明材料；如未</w:t>
      </w:r>
      <w:r>
        <w:rPr>
          <w:spacing w:val="8"/>
        </w:rPr>
        <w:t>迁移公司等法人实体，应当在签署前，向甲方提供上述法人身</w:t>
      </w:r>
      <w:r>
        <w:rPr>
          <w:spacing w:val="7"/>
        </w:rPr>
        <w:t>份证明材料。</w:t>
      </w:r>
    </w:p>
    <w:p w14:paraId="1A4E7743">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pPr>
      <w:r>
        <w:rPr>
          <w:spacing w:val="9"/>
        </w:rPr>
        <w:t>4、乙方应保证按统一规定的时间正常对外营业，不得在营业时间内随意停业或提早歇业。如需停业，需提前5日申请，经甲方同意后方可执行。如未</w:t>
      </w:r>
      <w:r>
        <w:rPr>
          <w:spacing w:val="8"/>
        </w:rPr>
        <w:t>经甲方同意停业，按照3000元/天收取违约金。因乙方原因，导致租赁场地不能正常</w:t>
      </w:r>
      <w:r>
        <w:rPr>
          <w:spacing w:val="12"/>
        </w:rPr>
        <w:t>营业或停业连续超过10天，或累计超过15天，甲方有权解除合同。乙方在撤店</w:t>
      </w:r>
      <w:r>
        <w:rPr>
          <w:spacing w:val="4"/>
        </w:rPr>
        <w:t>之前须足额缴纳租金及其他费用。</w:t>
      </w:r>
    </w:p>
    <w:p w14:paraId="1BA1A603">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39"/>
        <w:jc w:val="both"/>
        <w:textAlignment w:val="baseline"/>
      </w:pPr>
      <w:r>
        <w:rPr>
          <w:spacing w:val="12"/>
        </w:rPr>
        <w:t>5、在合同期内，乙方如需变更公司基本情况(</w:t>
      </w:r>
      <w:r>
        <w:rPr>
          <w:spacing w:val="11"/>
        </w:rPr>
        <w:t>包括但不限于公司名称、经</w:t>
      </w:r>
      <w:r>
        <w:rPr>
          <w:spacing w:val="17"/>
        </w:rPr>
        <w:t>营范围、法定代表人、股东、注册资本、公司性质等),应当在变更前10个工</w:t>
      </w:r>
      <w:r>
        <w:rPr>
          <w:spacing w:val="8"/>
        </w:rPr>
        <w:t>作日向甲方报备并确保变更后的公司符合文三数字生活街区的主导产/行业。变</w:t>
      </w:r>
      <w:r>
        <w:rPr>
          <w:spacing w:val="7"/>
        </w:rPr>
        <w:t>更完成后需在3个工作日内提交变更后的法人身份证明材料给甲方存档，如变更</w:t>
      </w:r>
      <w:r>
        <w:rPr>
          <w:spacing w:val="4"/>
        </w:rPr>
        <w:t>后与街区主导产/行业不相符的，甲方有权单方终止/解除合同，并要求乙方承担</w:t>
      </w:r>
      <w:r>
        <w:rPr>
          <w:spacing w:val="-1"/>
        </w:rPr>
        <w:t>违约责任。</w:t>
      </w:r>
    </w:p>
    <w:p w14:paraId="286E2B4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39"/>
        <w:jc w:val="both"/>
        <w:textAlignment w:val="baseline"/>
      </w:pPr>
      <w:r>
        <w:rPr>
          <w:spacing w:val="8"/>
        </w:rPr>
        <w:t>6、乙方按甲方的规定装修后开展正常营业，负责租赁场地内的消防管理工</w:t>
      </w:r>
      <w:r>
        <w:rPr>
          <w:spacing w:val="5"/>
        </w:rPr>
        <w:t>作并承担相关责任，一般防火器材自行购买。乙</w:t>
      </w:r>
      <w:r>
        <w:rPr>
          <w:spacing w:val="4"/>
        </w:rPr>
        <w:t>方如需要自行装修房屋，装修、</w:t>
      </w:r>
      <w:r>
        <w:rPr>
          <w:spacing w:val="5"/>
        </w:rPr>
        <w:t>装潢必须与甲方的整体风格一致，并接受甲方提出的合理整改要</w:t>
      </w:r>
      <w:r>
        <w:rPr>
          <w:spacing w:val="4"/>
        </w:rPr>
        <w:t>求。产生的费用</w:t>
      </w:r>
      <w:r>
        <w:rPr>
          <w:spacing w:val="8"/>
        </w:rPr>
        <w:t>全部由乙方承担，同时应当提前1个月向甲方提出装修申请并附装修方案，经甲</w:t>
      </w:r>
      <w:r>
        <w:rPr>
          <w:spacing w:val="5"/>
        </w:rPr>
        <w:t>方书面同意，并经有关部门认可或备案后方可施工。乙方应按国家现行</w:t>
      </w:r>
      <w:r>
        <w:rPr>
          <w:spacing w:val="4"/>
        </w:rPr>
        <w:t>消防规范</w:t>
      </w:r>
      <w:r>
        <w:rPr>
          <w:spacing w:val="5"/>
        </w:rPr>
        <w:t>要求完成租赁场地二次装修消防工程的实施及开业消防验收</w:t>
      </w:r>
      <w:r>
        <w:rPr>
          <w:spacing w:val="4"/>
        </w:rPr>
        <w:t>。乙方的装修方案凡</w:t>
      </w:r>
      <w:r>
        <w:rPr>
          <w:spacing w:val="5"/>
        </w:rPr>
        <w:t>涉及消防、建筑安全等需报政府主管部门批准的，</w:t>
      </w:r>
      <w:r>
        <w:rPr>
          <w:spacing w:val="4"/>
        </w:rPr>
        <w:t>须自行报请政府主管部门审批同意后方可实施。乙方租赁场地内的消防设施及消防管理必须符合国家现行消防</w:t>
      </w:r>
      <w:r>
        <w:rPr>
          <w:spacing w:val="5"/>
        </w:rPr>
        <w:t>规范要求，因二次装修消防不合格所造成的一切问题概由乙</w:t>
      </w:r>
      <w:r>
        <w:rPr>
          <w:spacing w:val="4"/>
        </w:rPr>
        <w:t>方自行负责。乙方装</w:t>
      </w:r>
      <w:r>
        <w:rPr>
          <w:spacing w:val="5"/>
        </w:rPr>
        <w:t>修、安装设备或改建过程中，应当注意安全，致使甲方或第三方</w:t>
      </w:r>
      <w:r>
        <w:rPr>
          <w:spacing w:val="4"/>
        </w:rPr>
        <w:t>财物或人身损害</w:t>
      </w:r>
      <w:r>
        <w:rPr>
          <w:spacing w:val="5"/>
        </w:rPr>
        <w:t>的，由乙方承担相关费用。乙方必须自费为其在租赁场所内的装</w:t>
      </w:r>
      <w:r>
        <w:rPr>
          <w:spacing w:val="4"/>
        </w:rPr>
        <w:t>修行为投保建筑</w:t>
      </w:r>
      <w:r>
        <w:rPr>
          <w:spacing w:val="6"/>
        </w:rPr>
        <w:t>工程一切险、第三者责任险，否则不得进行装修。</w:t>
      </w:r>
    </w:p>
    <w:p w14:paraId="4EE40759">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39"/>
        <w:jc w:val="both"/>
        <w:textAlignment w:val="baseline"/>
      </w:pPr>
      <w:r>
        <w:rPr>
          <w:spacing w:val="8"/>
        </w:rPr>
        <w:t>7、乙方应合法合规经营，应当遵守甲方的各项管理制度。乙方不应有任何</w:t>
      </w:r>
      <w:r>
        <w:rPr>
          <w:spacing w:val="11"/>
        </w:rPr>
        <w:t>违法经营行为(包括且不限于传销、诈骗、集资、无资质经营</w:t>
      </w:r>
      <w:r>
        <w:rPr>
          <w:rFonts w:ascii="宋体" w:hAnsi="宋体" w:eastAsia="宋体" w:cs="宋体"/>
          <w:spacing w:val="11"/>
        </w:rPr>
        <w:t>P2P</w:t>
      </w:r>
      <w:r>
        <w:rPr>
          <w:spacing w:val="11"/>
        </w:rPr>
        <w:t>等任何中华人</w:t>
      </w:r>
      <w:r>
        <w:rPr>
          <w:spacing w:val="8"/>
        </w:rPr>
        <w:t>民共和国法律法规或行政性文件所禁止的形式)或可能损害甲方及街区名誉</w:t>
      </w:r>
      <w:r>
        <w:rPr>
          <w:spacing w:val="7"/>
        </w:rPr>
        <w:t>的重</w:t>
      </w:r>
      <w:r>
        <w:rPr>
          <w:spacing w:val="5"/>
        </w:rPr>
        <w:t>大风险经营行为，如甲方发现乙方有前述违法经营行为或风</w:t>
      </w:r>
      <w:r>
        <w:rPr>
          <w:spacing w:val="4"/>
        </w:rPr>
        <w:t>险行为的意向、征兆</w:t>
      </w:r>
      <w:r>
        <w:rPr>
          <w:spacing w:val="8"/>
        </w:rPr>
        <w:t>或已经开展经营，甲方有权立即单方通知乙方</w:t>
      </w:r>
      <w:r>
        <w:rPr>
          <w:spacing w:val="7"/>
        </w:rPr>
        <w:t>解除本合同</w:t>
      </w:r>
    </w:p>
    <w:p w14:paraId="7EFA757D">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39"/>
        <w:jc w:val="both"/>
        <w:textAlignment w:val="baseline"/>
      </w:pPr>
      <w:r>
        <w:rPr>
          <w:spacing w:val="12"/>
        </w:rPr>
        <w:t>8、甲方提供给乙方使用的及租赁房屋内部的设备、设</w:t>
      </w:r>
      <w:r>
        <w:rPr>
          <w:spacing w:val="11"/>
        </w:rPr>
        <w:t>施(包括但不仅限于</w:t>
      </w:r>
      <w:r>
        <w:rPr>
          <w:spacing w:val="8"/>
        </w:rPr>
        <w:t>水电气管线、管道、门窗、锁具、墙地面、灯具等)由乙方负责保养、</w:t>
      </w:r>
      <w:r>
        <w:rPr>
          <w:spacing w:val="7"/>
        </w:rPr>
        <w:t>维修或更</w:t>
      </w:r>
      <w:r>
        <w:rPr>
          <w:spacing w:val="6"/>
        </w:rPr>
        <w:t>新，并承担相应费用；如乙方不履行维护、维</w:t>
      </w:r>
      <w:r>
        <w:rPr>
          <w:spacing w:val="5"/>
        </w:rPr>
        <w:t>修义务致使租赁房屋或设备、设施损毁或有损毁风险的，甲方有权自行或委托第三人进行修理，由此产生的费用由</w:t>
      </w:r>
      <w:r>
        <w:rPr>
          <w:spacing w:val="6"/>
        </w:rPr>
        <w:t>乙方承担，甲方可以从乙方缴纳的履约保证金中扣除。</w:t>
      </w:r>
    </w:p>
    <w:p w14:paraId="684CABC1">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spacing w:val="9"/>
        </w:rPr>
        <w:t>9、乙方在使用租赁房屋过程中，应做好扰民防范工作，不能影响周边居民</w:t>
      </w:r>
      <w:r>
        <w:rPr>
          <w:spacing w:val="6"/>
        </w:rPr>
        <w:t>及其他业主的正常生活经营，出现投诉应立即整改。</w:t>
      </w:r>
    </w:p>
    <w:p w14:paraId="4BB65E1E">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rFonts w:ascii="宋体" w:hAnsi="宋体" w:eastAsia="宋体" w:cs="宋体"/>
          <w:spacing w:val="5"/>
        </w:rPr>
        <w:t>10、</w:t>
      </w:r>
      <w:r>
        <w:rPr>
          <w:spacing w:val="5"/>
        </w:rPr>
        <w:t>乙方应当负责租赁房屋卫生、防火防盗安全工作，因乙方原因对甲方或</w:t>
      </w:r>
      <w:r>
        <w:rPr>
          <w:spacing w:val="7"/>
        </w:rPr>
        <w:t>第三人造成的损害，乙方应承担相应责任并按相关规定进行赔偿。</w:t>
      </w:r>
    </w:p>
    <w:p w14:paraId="55A8163C">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rFonts w:ascii="宋体" w:hAnsi="宋体" w:eastAsia="宋体" w:cs="宋体"/>
          <w:spacing w:val="5"/>
        </w:rPr>
        <w:t>11、</w:t>
      </w:r>
      <w:r>
        <w:rPr>
          <w:spacing w:val="5"/>
        </w:rPr>
        <w:t>未经甲方书面同意，乙方不得改变租赁房屋的用途及经营的品牌，不得</w:t>
      </w:r>
      <w:r>
        <w:rPr>
          <w:spacing w:val="6"/>
        </w:rPr>
        <w:t>将租赁房屋转租、分租、转让、转借、与他人交换使用、允许他</w:t>
      </w:r>
      <w:r>
        <w:rPr>
          <w:spacing w:val="5"/>
        </w:rPr>
        <w:t>人以乙方名义使</w:t>
      </w:r>
      <w:r>
        <w:rPr>
          <w:spacing w:val="7"/>
        </w:rPr>
        <w:t>用本合同租赁房屋或者将租赁房屋及基于该租赁房屋的经营项目向第三人承包、分包、联营、入股、抵押、或以其他任何方式让与第三人经营等。</w:t>
      </w:r>
    </w:p>
    <w:p w14:paraId="5870A256">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spacing w:val="9"/>
        </w:rPr>
        <w:t>12、合同租期届满或合同终止/解除后，乙方</w:t>
      </w:r>
      <w:r>
        <w:rPr>
          <w:spacing w:val="8"/>
        </w:rPr>
        <w:t>应当将标的房屋腾空或恢复原</w:t>
      </w:r>
      <w:r>
        <w:rPr>
          <w:spacing w:val="6"/>
        </w:rPr>
        <w:t>状交还给甲方。乙方装修添附的设施或设备，可自行拆除搬走，但不得损害标的房屋。乙方未予腾空或恢复原状的，所有遗留物品视为乙方废弃</w:t>
      </w:r>
      <w:r>
        <w:rPr>
          <w:spacing w:val="5"/>
        </w:rPr>
        <w:t>垃圾，甲方有权</w:t>
      </w:r>
      <w:r>
        <w:rPr>
          <w:spacing w:val="6"/>
        </w:rPr>
        <w:t>处置并有权要求乙方承担合理的垃圾处置费用包括但不限于拆除人工费、清运费</w:t>
      </w:r>
      <w:r>
        <w:t>用等。</w:t>
      </w:r>
    </w:p>
    <w:p w14:paraId="111A7FE1">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rFonts w:ascii="宋体" w:hAnsi="宋体" w:eastAsia="宋体" w:cs="宋体"/>
          <w:spacing w:val="5"/>
        </w:rPr>
        <w:t>13、</w:t>
      </w:r>
      <w:r>
        <w:rPr>
          <w:spacing w:val="5"/>
        </w:rPr>
        <w:t>如遇国家需要征用征收、拆迁本合同房屋时，本合同自动终止，双方互</w:t>
      </w:r>
      <w:r>
        <w:rPr>
          <w:spacing w:val="6"/>
        </w:rPr>
        <w:t>不承担违约责任。针对乙方装修及添加物的补偿由乙方所有，其余的拆迁补偿费用由甲方所有；甲方应于乙方返还房屋后，将合同履约保证金和剩余房</w:t>
      </w:r>
      <w:r>
        <w:rPr>
          <w:spacing w:val="5"/>
        </w:rPr>
        <w:t>租在扣除</w:t>
      </w:r>
      <w:r>
        <w:rPr>
          <w:spacing w:val="7"/>
        </w:rPr>
        <w:t>乙方应交但未交费用后无息退还乙方。</w:t>
      </w:r>
    </w:p>
    <w:p w14:paraId="6837BCE2">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spacing w:val="7"/>
        </w:rPr>
        <w:t>14、租赁期间，乙方应服从业主方专业物管公司统一</w:t>
      </w:r>
      <w:r>
        <w:rPr>
          <w:spacing w:val="6"/>
        </w:rPr>
        <w:t>的物业管理。若甲方或业主方根据市场行情、管理服务成本等实际需要，对物业管理费标准作统一、适</w:t>
      </w:r>
      <w:r>
        <w:rPr>
          <w:spacing w:val="5"/>
        </w:rPr>
        <w:t>当的调整，则物业管理费亦应随之一并调整。</w:t>
      </w:r>
    </w:p>
    <w:p w14:paraId="0E8B9233">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spacing w:val="6"/>
        </w:rPr>
        <w:t>15、租赁期间，乙方在符合经营需求的情况下，应积极使用甲方统一收银系</w:t>
      </w:r>
      <w:r>
        <w:rPr>
          <w:spacing w:val="4"/>
        </w:rPr>
        <w:t>统并入驻线上商城。</w:t>
      </w:r>
    </w:p>
    <w:p w14:paraId="5F7DDCB5">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outlineLvl w:val="0"/>
      </w:pPr>
      <w:r>
        <w:rPr>
          <w:b/>
          <w:bCs/>
          <w:spacing w:val="-4"/>
        </w:rPr>
        <w:t>六、违约责任</w:t>
      </w:r>
    </w:p>
    <w:p w14:paraId="5ACAABF6">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spacing w:val="9"/>
        </w:rPr>
        <w:t>1、甲方逾期提供用房的，逾期在15日以内的，则本合同租赁期限按逾期日</w:t>
      </w:r>
      <w:r>
        <w:rPr>
          <w:spacing w:val="10"/>
        </w:rPr>
        <w:t>期相应顺延。甲方逾期3个月仍未能交房的，乙方有权单方面终止租赁合同，并</w:t>
      </w:r>
      <w:r>
        <w:rPr>
          <w:spacing w:val="12"/>
        </w:rPr>
        <w:t>要求甲方承担违约责任并支付金额相当于2个</w:t>
      </w:r>
      <w:r>
        <w:rPr>
          <w:spacing w:val="11"/>
        </w:rPr>
        <w:t>月房租的违约金。</w:t>
      </w:r>
    </w:p>
    <w:p w14:paraId="17FA473F">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rFonts w:ascii="宋体" w:hAnsi="宋体" w:eastAsia="宋体" w:cs="宋体"/>
          <w:spacing w:val="10"/>
        </w:rPr>
        <w:t>2、</w:t>
      </w:r>
      <w:r>
        <w:rPr>
          <w:spacing w:val="10"/>
        </w:rPr>
        <w:t>乙方逾期支付租金或其他应向甲方支付的费用的，每逾期一天，应当向</w:t>
      </w:r>
      <w:r>
        <w:rPr>
          <w:spacing w:val="6"/>
        </w:rPr>
        <w:t>甲方支付应付租金或费用万分之五的逾期违约金，本合同另有约定的，同时适用</w:t>
      </w:r>
      <w:r>
        <w:rPr>
          <w:spacing w:val="-1"/>
        </w:rPr>
        <w:t>该约定。</w:t>
      </w:r>
    </w:p>
    <w:p w14:paraId="25F39AFB">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69"/>
        <w:jc w:val="both"/>
        <w:textAlignment w:val="baseline"/>
      </w:pPr>
      <w:r>
        <w:rPr>
          <w:spacing w:val="14"/>
        </w:rPr>
        <w:t>3、合同期内，乙方若单方面提前退租，应提前3个</w:t>
      </w:r>
      <w:r>
        <w:rPr>
          <w:spacing w:val="13"/>
        </w:rPr>
        <w:t>月书面告知甲方，并应当承担甲方标的房屋的空置期房租损失(以3个月的</w:t>
      </w:r>
      <w:r>
        <w:rPr>
          <w:spacing w:val="12"/>
        </w:rPr>
        <w:t>租金计算，以解除合同前最</w:t>
      </w:r>
      <w:r>
        <w:rPr>
          <w:spacing w:val="13"/>
        </w:rPr>
        <w:t>后一月的租金为标准),并全额补交本合同约定的免租期内的租金。</w:t>
      </w:r>
    </w:p>
    <w:p w14:paraId="5C3B1275">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99"/>
        <w:jc w:val="both"/>
        <w:textAlignment w:val="baseline"/>
      </w:pPr>
      <w:r>
        <w:rPr>
          <w:spacing w:val="8"/>
        </w:rPr>
        <w:t>4、合同终止或解除后，乙方逾期腾空交还租赁房屋的，甲方有权采取停水</w:t>
      </w:r>
      <w:r>
        <w:rPr>
          <w:spacing w:val="5"/>
        </w:rPr>
        <w:t>停电、封门等手段强制收回房屋，由此产生的一切损失均由乙方自行承担。且乙</w:t>
      </w:r>
      <w:r>
        <w:rPr>
          <w:spacing w:val="7"/>
        </w:rPr>
        <w:t>方除应当依照合同终止时的日租金标准的1.5倍向甲方支付占用使用费外，并应</w:t>
      </w:r>
      <w:r>
        <w:rPr>
          <w:spacing w:val="5"/>
        </w:rPr>
        <w:t>付清包括但不限于水、电、物业、燃气、电信、公共能耗等各项费用，直至</w:t>
      </w:r>
      <w:r>
        <w:rPr>
          <w:spacing w:val="4"/>
        </w:rPr>
        <w:t>乙方</w:t>
      </w:r>
      <w:r>
        <w:rPr>
          <w:spacing w:val="5"/>
        </w:rPr>
        <w:t>交还租赁房屋或甲方收回全部租赁房屋之日为止。乙方腾退</w:t>
      </w:r>
      <w:r>
        <w:rPr>
          <w:spacing w:val="4"/>
        </w:rPr>
        <w:t>交还标的房屋前应当</w:t>
      </w:r>
      <w:r>
        <w:rPr>
          <w:spacing w:val="5"/>
        </w:rPr>
        <w:t>将注册地址迁出标的房屋场地。否则，视为乙方未将标的房屋交还甲方，且</w:t>
      </w:r>
      <w:r>
        <w:rPr>
          <w:spacing w:val="4"/>
        </w:rPr>
        <w:t>甲方有权将乙方列为异常经营企业。</w:t>
      </w:r>
    </w:p>
    <w:p w14:paraId="40CBA1D3">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99"/>
        <w:jc w:val="both"/>
        <w:textAlignment w:val="baseline"/>
      </w:pPr>
      <w:r>
        <w:rPr>
          <w:spacing w:val="8"/>
        </w:rPr>
        <w:t>5、合同期内，乙方出现以下任何一项违约事由，甲方即有权单方面通知乙</w:t>
      </w:r>
      <w:r>
        <w:rPr>
          <w:spacing w:val="7"/>
        </w:rPr>
        <w:t>方解除本合同，收回该房屋；且乙方应向甲方支付违约金(以3个月的租金计算，</w:t>
      </w:r>
      <w:r>
        <w:rPr>
          <w:spacing w:val="13"/>
        </w:rPr>
        <w:t>以解除合同前最后一月的租金为标准);若支付的违约金不足弥补甲方损失的，</w:t>
      </w:r>
      <w:r>
        <w:rPr>
          <w:spacing w:val="2"/>
        </w:rPr>
        <w:t>乙方还应承担赔偿责任：</w:t>
      </w:r>
    </w:p>
    <w:p w14:paraId="323B1234">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16" w:firstLineChars="200"/>
        <w:jc w:val="both"/>
        <w:textAlignment w:val="baseline"/>
      </w:pPr>
      <w:r>
        <w:rPr>
          <w:rFonts w:hint="eastAsia"/>
          <w:spacing w:val="19"/>
          <w:lang w:eastAsia="zh-CN"/>
        </w:rPr>
        <w:t>（</w:t>
      </w:r>
      <w:r>
        <w:rPr>
          <w:spacing w:val="19"/>
        </w:rPr>
        <w:t>1</w:t>
      </w:r>
      <w:r>
        <w:rPr>
          <w:rFonts w:hint="eastAsia"/>
          <w:spacing w:val="19"/>
          <w:lang w:eastAsia="zh-CN"/>
        </w:rPr>
        <w:t>）</w:t>
      </w:r>
      <w:r>
        <w:rPr>
          <w:spacing w:val="19"/>
        </w:rPr>
        <w:t>逾期支付租金或其它应当支付</w:t>
      </w:r>
      <w:r>
        <w:rPr>
          <w:rFonts w:hint="eastAsia"/>
          <w:spacing w:val="19"/>
          <w:lang w:eastAsia="zh-CN"/>
        </w:rPr>
        <w:t>（</w:t>
      </w:r>
      <w:r>
        <w:rPr>
          <w:spacing w:val="19"/>
        </w:rPr>
        <w:t>补足</w:t>
      </w:r>
      <w:r>
        <w:rPr>
          <w:rFonts w:hint="eastAsia"/>
          <w:spacing w:val="19"/>
          <w:lang w:eastAsia="zh-CN"/>
        </w:rPr>
        <w:t>）</w:t>
      </w:r>
      <w:r>
        <w:rPr>
          <w:spacing w:val="19"/>
        </w:rPr>
        <w:t>的</w:t>
      </w:r>
      <w:r>
        <w:rPr>
          <w:spacing w:val="18"/>
        </w:rPr>
        <w:t>保证金、费用超过30天以上</w:t>
      </w:r>
      <w:r>
        <w:rPr>
          <w:spacing w:val="-10"/>
        </w:rPr>
        <w:t>的；</w:t>
      </w:r>
    </w:p>
    <w:p w14:paraId="521D7898">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pPr>
      <w:r>
        <w:rPr>
          <w:rFonts w:hint="eastAsia"/>
          <w:spacing w:val="12"/>
          <w:lang w:eastAsia="zh-CN"/>
        </w:rPr>
        <w:t>（</w:t>
      </w:r>
      <w:r>
        <w:rPr>
          <w:spacing w:val="12"/>
        </w:rPr>
        <w:t>2</w:t>
      </w:r>
      <w:r>
        <w:rPr>
          <w:rFonts w:hint="eastAsia"/>
          <w:spacing w:val="12"/>
          <w:lang w:eastAsia="zh-CN"/>
        </w:rPr>
        <w:t>）</w:t>
      </w:r>
      <w:r>
        <w:rPr>
          <w:spacing w:val="12"/>
        </w:rPr>
        <w:t>未经甲方书面同意，擅自改变租赁房屋用途或经营品牌，或注册</w:t>
      </w:r>
      <w:r>
        <w:rPr>
          <w:spacing w:val="11"/>
        </w:rPr>
        <w:t>资金</w:t>
      </w:r>
      <w:r>
        <w:rPr>
          <w:spacing w:val="10"/>
        </w:rPr>
        <w:t>未按合同要求到位，延迟时间累积超过6个月</w:t>
      </w:r>
      <w:r>
        <w:rPr>
          <w:spacing w:val="9"/>
        </w:rPr>
        <w:t>的；</w:t>
      </w:r>
    </w:p>
    <w:p w14:paraId="619C6DF2">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16" w:firstLineChars="200"/>
        <w:jc w:val="both"/>
        <w:textAlignment w:val="baseline"/>
        <w:rPr>
          <w:spacing w:val="19"/>
        </w:rPr>
      </w:pPr>
      <w:r>
        <w:rPr>
          <w:rFonts w:hint="eastAsia"/>
          <w:spacing w:val="19"/>
          <w:lang w:eastAsia="zh-CN"/>
        </w:rPr>
        <w:t>（</w:t>
      </w:r>
      <w:r>
        <w:rPr>
          <w:spacing w:val="19"/>
        </w:rPr>
        <w:t>3</w:t>
      </w:r>
      <w:r>
        <w:rPr>
          <w:rFonts w:hint="eastAsia"/>
          <w:spacing w:val="19"/>
          <w:lang w:eastAsia="zh-CN"/>
        </w:rPr>
        <w:t>）</w:t>
      </w:r>
      <w:r>
        <w:rPr>
          <w:spacing w:val="19"/>
        </w:rPr>
        <w:t>未经甲方书面同意，擅自装修租赁房屋，或损坏房屋原装修的；</w:t>
      </w:r>
    </w:p>
    <w:p w14:paraId="237CE50C">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04" w:firstLineChars="200"/>
        <w:jc w:val="both"/>
        <w:textAlignment w:val="baseline"/>
      </w:pPr>
      <w:r>
        <w:rPr>
          <w:rFonts w:hint="eastAsia"/>
          <w:spacing w:val="16"/>
          <w:lang w:eastAsia="zh-CN"/>
        </w:rPr>
        <w:t>（</w:t>
      </w:r>
      <w:r>
        <w:rPr>
          <w:spacing w:val="16"/>
        </w:rPr>
        <w:t>4</w:t>
      </w:r>
      <w:r>
        <w:rPr>
          <w:rFonts w:hint="eastAsia"/>
          <w:spacing w:val="16"/>
          <w:lang w:eastAsia="zh-CN"/>
        </w:rPr>
        <w:t>）</w:t>
      </w:r>
      <w:r>
        <w:rPr>
          <w:spacing w:val="16"/>
        </w:rPr>
        <w:t>未经甲方书面同意，擅自转租、转借、分租</w:t>
      </w:r>
      <w:r>
        <w:rPr>
          <w:rFonts w:hint="eastAsia"/>
          <w:spacing w:val="16"/>
          <w:lang w:eastAsia="zh-CN"/>
        </w:rPr>
        <w:t>（</w:t>
      </w:r>
      <w:r>
        <w:rPr>
          <w:spacing w:val="16"/>
        </w:rPr>
        <w:t>包括但不限于部分或全</w:t>
      </w:r>
      <w:r>
        <w:rPr>
          <w:spacing w:val="11"/>
        </w:rPr>
        <w:t>部转租、转让、分租、合租、借用、共用、</w:t>
      </w:r>
      <w:r>
        <w:rPr>
          <w:spacing w:val="10"/>
        </w:rPr>
        <w:t>合伙等</w:t>
      </w:r>
      <w:r>
        <w:rPr>
          <w:rFonts w:hint="eastAsia"/>
          <w:spacing w:val="10"/>
          <w:lang w:eastAsia="zh-CN"/>
        </w:rPr>
        <w:t>）</w:t>
      </w:r>
      <w:r>
        <w:rPr>
          <w:spacing w:val="10"/>
        </w:rPr>
        <w:t>的；</w:t>
      </w:r>
    </w:p>
    <w:p w14:paraId="05AD74D9">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0"/>
        <w:jc w:val="both"/>
        <w:textAlignment w:val="baseline"/>
      </w:pPr>
      <w:r>
        <w:rPr>
          <w:rFonts w:hint="eastAsia"/>
          <w:spacing w:val="11"/>
          <w:lang w:eastAsia="zh-CN"/>
        </w:rPr>
        <w:t>（</w:t>
      </w:r>
      <w:r>
        <w:rPr>
          <w:spacing w:val="11"/>
        </w:rPr>
        <w:t>5</w:t>
      </w:r>
      <w:r>
        <w:rPr>
          <w:rFonts w:hint="eastAsia"/>
          <w:spacing w:val="11"/>
          <w:lang w:eastAsia="zh-CN"/>
        </w:rPr>
        <w:t>）</w:t>
      </w:r>
      <w:r>
        <w:rPr>
          <w:spacing w:val="11"/>
        </w:rPr>
        <w:t>利用承租的房屋从事非法活动的；</w:t>
      </w:r>
    </w:p>
    <w:p w14:paraId="301919F0">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pPr>
      <w:r>
        <w:rPr>
          <w:rFonts w:hint="eastAsia"/>
          <w:spacing w:val="12"/>
          <w:lang w:eastAsia="zh-CN"/>
        </w:rPr>
        <w:t>（</w:t>
      </w:r>
      <w:r>
        <w:rPr>
          <w:spacing w:val="12"/>
        </w:rPr>
        <w:t>6</w:t>
      </w:r>
      <w:r>
        <w:rPr>
          <w:rFonts w:hint="eastAsia"/>
          <w:spacing w:val="12"/>
          <w:lang w:eastAsia="zh-CN"/>
        </w:rPr>
        <w:t>）</w:t>
      </w:r>
      <w:r>
        <w:rPr>
          <w:spacing w:val="12"/>
        </w:rPr>
        <w:t>乙方严重或多次侵害相邻关系的又整改不力，造成周围业主或</w:t>
      </w:r>
      <w:r>
        <w:rPr>
          <w:spacing w:val="11"/>
        </w:rPr>
        <w:t>承租方</w:t>
      </w:r>
      <w:r>
        <w:rPr>
          <w:spacing w:val="-5"/>
        </w:rPr>
        <w:t>多次投诉的；</w:t>
      </w:r>
    </w:p>
    <w:p w14:paraId="0FABD6F2">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pPr>
      <w:r>
        <w:rPr>
          <w:rFonts w:hint="eastAsia"/>
          <w:spacing w:val="12"/>
          <w:lang w:eastAsia="zh-CN"/>
        </w:rPr>
        <w:t>（</w:t>
      </w:r>
      <w:r>
        <w:rPr>
          <w:spacing w:val="12"/>
        </w:rPr>
        <w:t>7</w:t>
      </w:r>
      <w:r>
        <w:rPr>
          <w:rFonts w:hint="eastAsia"/>
          <w:spacing w:val="12"/>
          <w:lang w:eastAsia="zh-CN"/>
        </w:rPr>
        <w:t>）</w:t>
      </w:r>
      <w:r>
        <w:rPr>
          <w:spacing w:val="12"/>
        </w:rPr>
        <w:t>乙方违反本合同其他义务，经甲方催告后15天</w:t>
      </w:r>
      <w:r>
        <w:rPr>
          <w:spacing w:val="11"/>
        </w:rPr>
        <w:t>内仍拒不整改或整改后</w:t>
      </w:r>
      <w:r>
        <w:rPr>
          <w:spacing w:val="2"/>
        </w:rPr>
        <w:t>不符合要求的。</w:t>
      </w:r>
    </w:p>
    <w:p w14:paraId="704F5910">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pPr>
      <w:r>
        <w:rPr>
          <w:rFonts w:hint="eastAsia"/>
          <w:spacing w:val="12"/>
          <w:lang w:eastAsia="zh-CN"/>
        </w:rPr>
        <w:t>（</w:t>
      </w:r>
      <w:r>
        <w:rPr>
          <w:spacing w:val="12"/>
        </w:rPr>
        <w:t>8</w:t>
      </w:r>
      <w:r>
        <w:rPr>
          <w:rFonts w:hint="eastAsia"/>
          <w:spacing w:val="12"/>
          <w:lang w:eastAsia="zh-CN"/>
        </w:rPr>
        <w:t>）</w:t>
      </w:r>
      <w:r>
        <w:rPr>
          <w:spacing w:val="12"/>
        </w:rPr>
        <w:t>本合同约定的其他可以解除的情形。</w:t>
      </w:r>
    </w:p>
    <w:p w14:paraId="3A5F4577">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59"/>
        <w:jc w:val="both"/>
        <w:textAlignment w:val="baseline"/>
        <w:rPr>
          <w:rFonts w:hint="eastAsia"/>
          <w:spacing w:val="5"/>
          <w:lang w:val="en-US" w:eastAsia="zh-CN"/>
        </w:rPr>
      </w:pPr>
      <w:r>
        <w:rPr>
          <w:spacing w:val="6"/>
        </w:rPr>
        <w:t>6、乙方违反本合同义务的，除应承担本合同约定的违约/赔偿责任外，</w:t>
      </w:r>
      <w:r>
        <w:rPr>
          <w:spacing w:val="5"/>
        </w:rPr>
        <w:t>还应</w:t>
      </w:r>
      <w:r>
        <w:rPr>
          <w:spacing w:val="6"/>
        </w:rPr>
        <w:t>赔偿甲方方因行使权利而支出的诉讼费、律师费、差旅费、鉴定费、保全费、诉</w:t>
      </w:r>
      <w:r>
        <w:rPr>
          <w:spacing w:val="5"/>
        </w:rPr>
        <w:t>责险保险费等合理支出。</w:t>
      </w:r>
    </w:p>
    <w:p w14:paraId="4E79AA07">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both"/>
        <w:textAlignment w:val="baseline"/>
        <w:outlineLvl w:val="0"/>
        <w:rPr>
          <w:rFonts w:hint="default"/>
          <w:b/>
          <w:bCs/>
          <w:spacing w:val="-4"/>
          <w:lang w:val="en-US" w:eastAsia="zh-CN"/>
        </w:rPr>
      </w:pPr>
      <w:r>
        <w:rPr>
          <w:rFonts w:hint="default"/>
          <w:b/>
          <w:bCs/>
          <w:spacing w:val="-4"/>
          <w:lang w:val="en-US" w:eastAsia="zh-CN"/>
        </w:rPr>
        <w:t>七、特别约定</w:t>
      </w:r>
    </w:p>
    <w:p w14:paraId="054C0233">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default"/>
          <w:b w:val="0"/>
          <w:bCs w:val="0"/>
          <w:spacing w:val="12"/>
          <w:lang w:val="en-US" w:eastAsia="zh-CN"/>
        </w:rPr>
      </w:pPr>
      <w:r>
        <w:rPr>
          <w:rFonts w:hint="default"/>
          <w:b w:val="0"/>
          <w:bCs w:val="0"/>
          <w:spacing w:val="12"/>
          <w:lang w:val="en-US" w:eastAsia="zh-CN"/>
        </w:rPr>
        <w:t>1、甲方根据需要增加经营面积或对园区局部规划调整若对乙方的经营造成影响，乙方不得以此为由提出减免租金或其他任何补偿要求。</w:t>
      </w:r>
    </w:p>
    <w:p w14:paraId="31C7ECBE">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default"/>
          <w:b w:val="0"/>
          <w:bCs w:val="0"/>
          <w:spacing w:val="12"/>
          <w:lang w:val="en-US" w:eastAsia="zh-CN"/>
        </w:rPr>
      </w:pPr>
      <w:r>
        <w:rPr>
          <w:rFonts w:hint="default"/>
          <w:b w:val="0"/>
          <w:bCs w:val="0"/>
          <w:spacing w:val="12"/>
          <w:lang w:val="en-US" w:eastAsia="zh-CN"/>
        </w:rPr>
        <w:t>2、甲方根据活动安排，需要使用乙方场地或提供服务的，乙方应无条件提供并积极配合，乙方不能以此为由提出减免租金或其他任何补偿要求。</w:t>
      </w:r>
    </w:p>
    <w:p w14:paraId="1D13559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default"/>
          <w:b w:val="0"/>
          <w:bCs w:val="0"/>
          <w:spacing w:val="12"/>
          <w:lang w:val="en-US" w:eastAsia="zh-CN"/>
        </w:rPr>
      </w:pPr>
      <w:r>
        <w:rPr>
          <w:rFonts w:hint="default"/>
          <w:b w:val="0"/>
          <w:bCs w:val="0"/>
          <w:spacing w:val="12"/>
          <w:lang w:val="en-US" w:eastAsia="zh-CN"/>
        </w:rPr>
        <w:t>3、因不可抗力及法律法规或国家政策调整及限制，区统一规划调整或因甲方对该物业的经营管理权限终止，本合同无法继续履行的，本合同即行终止，甲、乙双方互不承担违约责任。</w:t>
      </w:r>
    </w:p>
    <w:p w14:paraId="7F92C44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default"/>
          <w:b w:val="0"/>
          <w:bCs w:val="0"/>
          <w:spacing w:val="12"/>
          <w:lang w:val="en-US" w:eastAsia="zh-CN"/>
        </w:rPr>
      </w:pPr>
      <w:r>
        <w:rPr>
          <w:rFonts w:hint="default"/>
          <w:b w:val="0"/>
          <w:bCs w:val="0"/>
          <w:spacing w:val="12"/>
          <w:lang w:val="en-US" w:eastAsia="zh-CN"/>
        </w:rPr>
        <w:t>4、 甲方根据管理需要，要求乙方对物业内、外安装或设置的设施设备等进行整改或拆除，乙方须无条件配合。</w:t>
      </w:r>
    </w:p>
    <w:p w14:paraId="049FCAD9">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default"/>
          <w:b w:val="0"/>
          <w:bCs w:val="0"/>
          <w:spacing w:val="12"/>
          <w:lang w:val="en-US" w:eastAsia="zh-CN"/>
        </w:rPr>
      </w:pPr>
      <w:r>
        <w:rPr>
          <w:rFonts w:hint="default"/>
          <w:b w:val="0"/>
          <w:bCs w:val="0"/>
          <w:spacing w:val="12"/>
          <w:lang w:val="en-US" w:eastAsia="zh-CN"/>
        </w:rPr>
        <w:t>5、 甲方进行公建设施的检修或维护，若涉及乙方承租物业或物业内、外的设施设备，无论产权为甲方或乙方，乙方均须无条件配合。</w:t>
      </w:r>
    </w:p>
    <w:p w14:paraId="7E93B4A1">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default"/>
          <w:spacing w:val="12"/>
          <w:lang w:val="en-US" w:eastAsia="zh-CN"/>
        </w:rPr>
      </w:pPr>
      <w:r>
        <w:rPr>
          <w:rFonts w:hint="default"/>
          <w:b w:val="0"/>
          <w:bCs w:val="0"/>
          <w:spacing w:val="12"/>
          <w:lang w:val="en-US" w:eastAsia="zh-CN"/>
        </w:rPr>
        <w:t>6、本合同未尽事宜，由甲、乙双方协商解决，并另行签订补充协议，其补充协议与本合同具有同等法律效力，补充协议与本合同约定不一致的，以补充协议为准。</w:t>
      </w:r>
    </w:p>
    <w:p w14:paraId="6D310B14">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outlineLvl w:val="0"/>
      </w:pPr>
      <w:r>
        <w:rPr>
          <w:rFonts w:hint="eastAsia"/>
          <w:b/>
          <w:bCs/>
          <w:spacing w:val="5"/>
          <w:lang w:val="en-US" w:eastAsia="zh-CN"/>
        </w:rPr>
        <w:t>八</w:t>
      </w:r>
      <w:r>
        <w:rPr>
          <w:b/>
          <w:bCs/>
          <w:spacing w:val="5"/>
        </w:rPr>
        <w:t>、其他约定</w:t>
      </w:r>
    </w:p>
    <w:p w14:paraId="7E89201B">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1、有下列情形之一的，甲乙双方可以变更或终止本合同并互不承担责任，</w:t>
      </w:r>
    </w:p>
    <w:p w14:paraId="6D3F22DF">
      <w:pPr>
        <w:pStyle w:val="2"/>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rFonts w:hint="eastAsia"/>
          <w:spacing w:val="12"/>
          <w:lang w:eastAsia="zh-CN"/>
        </w:rPr>
      </w:pPr>
      <w:r>
        <w:rPr>
          <w:rFonts w:hint="eastAsia"/>
          <w:spacing w:val="12"/>
          <w:lang w:eastAsia="zh-CN"/>
        </w:rPr>
        <w:t>房屋租金按照实际租赁时间计算：</w:t>
      </w:r>
    </w:p>
    <w:p w14:paraId="1BADD6B3">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（1）甲乙双方协商一致；</w:t>
      </w:r>
    </w:p>
    <w:p w14:paraId="24A854B8">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（2）因不可抗力致本合同不能继续履行的；</w:t>
      </w:r>
    </w:p>
    <w:p w14:paraId="30DE69B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（3）租赁期间内，该房屋因社会公共利益或城市建设需要进行征用拆迁或</w:t>
      </w:r>
    </w:p>
    <w:p w14:paraId="1C9745B5">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改造的；</w:t>
      </w:r>
    </w:p>
    <w:p w14:paraId="2FADCFD5">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（4）甲方应政府指令/要求，需将房屋另作他用的。</w:t>
      </w:r>
    </w:p>
    <w:p w14:paraId="38432ED0">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2、双方确认本合同事宜往来的送达地址及联系人员为：</w:t>
      </w:r>
    </w:p>
    <w:p w14:paraId="2080EC64">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1"/>
          <w:u w:val="single"/>
          <w:lang w:val="en-US" w:eastAsia="zh-CN"/>
        </w:rPr>
      </w:pPr>
      <w:r>
        <w:rPr>
          <w:rFonts w:hint="eastAsia"/>
          <w:spacing w:val="12"/>
          <w:lang w:eastAsia="zh-CN"/>
        </w:rPr>
        <w:t>甲方联系人：</w:t>
      </w:r>
      <w:r>
        <w:rPr>
          <w:rFonts w:hint="eastAsia"/>
          <w:spacing w:val="11"/>
          <w:u w:val="single"/>
          <w:lang w:val="en-US" w:eastAsia="zh-CN"/>
        </w:rPr>
        <w:t xml:space="preserve">                                                  </w:t>
      </w:r>
    </w:p>
    <w:p w14:paraId="7AC5CC5D">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电话：</w:t>
      </w:r>
      <w:r>
        <w:rPr>
          <w:rFonts w:hint="eastAsia"/>
          <w:spacing w:val="11"/>
          <w:u w:val="single"/>
          <w:lang w:val="en-US" w:eastAsia="zh-CN"/>
        </w:rPr>
        <w:t xml:space="preserve">                                                        </w:t>
      </w:r>
    </w:p>
    <w:p w14:paraId="2944261C">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送达地址为：</w:t>
      </w:r>
      <w:r>
        <w:rPr>
          <w:rFonts w:hint="eastAsia"/>
          <w:spacing w:val="11"/>
          <w:u w:val="single"/>
          <w:lang w:val="en-US" w:eastAsia="zh-CN"/>
        </w:rPr>
        <w:t xml:space="preserve">                                                  </w:t>
      </w:r>
    </w:p>
    <w:p w14:paraId="5110A12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乙方联系人：</w:t>
      </w:r>
      <w:r>
        <w:rPr>
          <w:rFonts w:hint="eastAsia"/>
          <w:spacing w:val="11"/>
          <w:u w:val="single"/>
          <w:lang w:val="en-US" w:eastAsia="zh-CN"/>
        </w:rPr>
        <w:t xml:space="preserve">                                                  </w:t>
      </w:r>
    </w:p>
    <w:p w14:paraId="0E73C894">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电话：</w:t>
      </w:r>
      <w:r>
        <w:rPr>
          <w:rFonts w:hint="eastAsia"/>
          <w:spacing w:val="11"/>
          <w:u w:val="single"/>
          <w:lang w:val="en-US" w:eastAsia="zh-CN"/>
        </w:rPr>
        <w:t xml:space="preserve">                                                        </w:t>
      </w:r>
    </w:p>
    <w:p w14:paraId="606E1698">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8" w:firstLineChars="200"/>
        <w:jc w:val="both"/>
        <w:textAlignment w:val="baseline"/>
        <w:rPr>
          <w:rFonts w:hint="eastAsia"/>
          <w:spacing w:val="12"/>
          <w:lang w:eastAsia="zh-CN"/>
        </w:rPr>
      </w:pPr>
      <w:r>
        <w:rPr>
          <w:rFonts w:hint="eastAsia"/>
          <w:spacing w:val="12"/>
          <w:lang w:eastAsia="zh-CN"/>
        </w:rPr>
        <w:t>送达地址为：</w:t>
      </w:r>
      <w:r>
        <w:rPr>
          <w:rFonts w:hint="eastAsia"/>
          <w:spacing w:val="11"/>
          <w:u w:val="single"/>
          <w:lang w:val="en-US" w:eastAsia="zh-CN"/>
        </w:rPr>
        <w:t xml:space="preserve">                                                  </w:t>
      </w:r>
    </w:p>
    <w:p w14:paraId="58716FA4">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19"/>
        <w:jc w:val="both"/>
        <w:textAlignment w:val="baseline"/>
      </w:pPr>
      <w:r>
        <w:rPr>
          <w:rFonts w:ascii="宋体" w:hAnsi="宋体" w:eastAsia="宋体" w:cs="宋体"/>
          <w:spacing w:val="2"/>
        </w:rPr>
        <w:t>3、</w:t>
      </w:r>
      <w:r>
        <w:rPr>
          <w:spacing w:val="2"/>
        </w:rPr>
        <w:t>以上送达地址适用范围包括但不限于各类告知书、通知书、工作联系单、</w:t>
      </w:r>
      <w:r>
        <w:rPr>
          <w:spacing w:val="6"/>
        </w:rPr>
        <w:t>协议文件、诉讼或仲裁文书，送达主体可以是合同各方、人民法院、仲裁委员会及各行政机关。送达主体按照上述送达地址进行送达，视为有效送达；采用邮寄送达的，以文书签收之日或退回之日视为送达之日；直接送达的，送达人当场在</w:t>
      </w:r>
      <w:r>
        <w:rPr>
          <w:spacing w:val="8"/>
        </w:rPr>
        <w:t>送达回证上记明情况之日视为送达之日；邮箱送达的，发出当天即视为送达。</w:t>
      </w:r>
    </w:p>
    <w:p w14:paraId="4338131B">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pPr>
      <w:r>
        <w:rPr>
          <w:spacing w:val="-27"/>
        </w:rPr>
        <w:t>八、附则</w:t>
      </w:r>
    </w:p>
    <w:p w14:paraId="757D8F5A">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19"/>
        <w:jc w:val="both"/>
        <w:textAlignment w:val="baseline"/>
      </w:pPr>
      <w:r>
        <w:rPr>
          <w:spacing w:val="9"/>
        </w:rPr>
        <w:t>1、因本合同引起的争议或纠纷，双方应协商解决；协商不成，任何一方均</w:t>
      </w:r>
      <w:r>
        <w:rPr>
          <w:spacing w:val="5"/>
        </w:rPr>
        <w:t>有权向杭州仲裁委员会申请仲裁解决。</w:t>
      </w:r>
    </w:p>
    <w:p w14:paraId="1D113968">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19"/>
        <w:jc w:val="both"/>
        <w:textAlignment w:val="baseline"/>
      </w:pPr>
      <w:r>
        <w:rPr>
          <w:rFonts w:ascii="宋体" w:hAnsi="宋体" w:eastAsia="宋体" w:cs="宋体"/>
          <w:spacing w:val="10"/>
        </w:rPr>
        <w:t>2、</w:t>
      </w:r>
      <w:r>
        <w:rPr>
          <w:spacing w:val="10"/>
        </w:rPr>
        <w:t>本合同壹式贰份，甲乙双方各执壹份，在甲乙双方授权代表签字并盖章</w:t>
      </w:r>
      <w:r>
        <w:rPr>
          <w:spacing w:val="6"/>
        </w:rPr>
        <w:t>后生效，具有同等法律效力。</w:t>
      </w:r>
    </w:p>
    <w:p w14:paraId="3EFCB0B4">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spacing w:val="14"/>
        </w:rPr>
      </w:pPr>
    </w:p>
    <w:p w14:paraId="323E1827">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spacing w:val="14"/>
        </w:rPr>
      </w:pPr>
    </w:p>
    <w:p w14:paraId="27085B10">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spacing w:val="14"/>
        </w:rPr>
      </w:pPr>
    </w:p>
    <w:p w14:paraId="46670E3D">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pPr>
      <w:r>
        <w:rPr>
          <w:spacing w:val="14"/>
        </w:rPr>
        <w:t>【以下无正文】</w:t>
      </w:r>
    </w:p>
    <w:p w14:paraId="7DF4D8D5">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19"/>
        <w:jc w:val="both"/>
        <w:textAlignment w:val="baseline"/>
        <w:rPr>
          <w:spacing w:val="16"/>
        </w:rPr>
      </w:pPr>
      <w:r>
        <w:rPr>
          <w:spacing w:val="16"/>
        </w:rPr>
        <w:t>甲方</w:t>
      </w:r>
      <w:r>
        <w:rPr>
          <w:rFonts w:hint="eastAsia"/>
          <w:spacing w:val="16"/>
          <w:lang w:eastAsia="zh-CN"/>
        </w:rPr>
        <w:t>（盖章）</w:t>
      </w:r>
      <w:r>
        <w:rPr>
          <w:spacing w:val="16"/>
        </w:rPr>
        <w:t>:</w:t>
      </w:r>
      <w:r>
        <w:rPr>
          <w:rFonts w:hint="eastAsia"/>
          <w:spacing w:val="16"/>
          <w:lang w:val="en-US" w:eastAsia="zh-CN"/>
        </w:rPr>
        <w:t xml:space="preserve">                     </w:t>
      </w:r>
      <w:r>
        <w:rPr>
          <w:spacing w:val="16"/>
        </w:rPr>
        <w:t>乙方</w:t>
      </w:r>
      <w:r>
        <w:rPr>
          <w:rFonts w:hint="eastAsia"/>
          <w:spacing w:val="16"/>
          <w:lang w:eastAsia="zh-CN"/>
        </w:rPr>
        <w:t>（盖章）</w:t>
      </w:r>
      <w:r>
        <w:rPr>
          <w:spacing w:val="16"/>
        </w:rPr>
        <w:t>:</w:t>
      </w:r>
    </w:p>
    <w:p w14:paraId="356A1C5A">
      <w:pPr>
        <w:pStyle w:val="2"/>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spacing w:val="16"/>
        </w:rPr>
      </w:pPr>
    </w:p>
    <w:p w14:paraId="0BB1CFF0">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519"/>
        <w:jc w:val="both"/>
        <w:textAlignment w:val="baseline"/>
        <w:rPr>
          <w:spacing w:val="16"/>
        </w:rPr>
      </w:pPr>
      <w:r>
        <w:rPr>
          <w:spacing w:val="16"/>
        </w:rPr>
        <w:t>法定代表人/授权代表：</w:t>
      </w:r>
      <w:r>
        <w:rPr>
          <w:rFonts w:hint="eastAsia"/>
          <w:spacing w:val="16"/>
          <w:lang w:val="en-US" w:eastAsia="zh-CN"/>
        </w:rPr>
        <w:t xml:space="preserve">             </w:t>
      </w:r>
      <w:r>
        <w:rPr>
          <w:spacing w:val="16"/>
        </w:rPr>
        <w:t>法定代表人/授权代表：</w:t>
      </w:r>
    </w:p>
    <w:p w14:paraId="3E86B4A6">
      <w:pPr>
        <w:pStyle w:val="2"/>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spacing w:val="16"/>
        </w:rPr>
      </w:pPr>
    </w:p>
    <w:p w14:paraId="2622E6D9">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jc w:val="right"/>
        <w:textAlignment w:val="baseline"/>
        <w:rPr>
          <w:spacing w:val="16"/>
        </w:rPr>
        <w:sectPr>
          <w:headerReference r:id="rId5" w:type="default"/>
          <w:footerReference r:id="rId6" w:type="default"/>
          <w:pgSz w:w="11900" w:h="16830"/>
          <w:pgMar w:top="1440" w:right="1800" w:bottom="1440" w:left="1800" w:header="1492" w:footer="1219" w:gutter="0"/>
          <w:pgNumType w:fmt="decimal"/>
          <w:cols w:space="720" w:num="1"/>
        </w:sectPr>
      </w:pPr>
      <w:r>
        <w:rPr>
          <w:spacing w:val="-9"/>
          <w:sz w:val="23"/>
          <w:szCs w:val="23"/>
        </w:rPr>
        <w:t>签约时间：</w:t>
      </w: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w:t>
      </w:r>
    </w:p>
    <w:p w14:paraId="2C90927A">
      <w:pPr>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sz w:val="23"/>
          <w:szCs w:val="23"/>
        </w:rPr>
      </w:pPr>
    </w:p>
    <w:p w14:paraId="53477B88">
      <w:pPr>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sz w:val="23"/>
          <w:szCs w:val="23"/>
        </w:rPr>
        <w:sectPr>
          <w:headerReference r:id="rId7" w:type="default"/>
          <w:footerReference r:id="rId8" w:type="default"/>
          <w:pgSz w:w="11900" w:h="16830"/>
          <w:pgMar w:top="1440" w:right="1800" w:bottom="1440" w:left="1800" w:header="1512" w:footer="1244" w:gutter="0"/>
          <w:pgNumType w:fmt="decimal"/>
          <w:cols w:space="720" w:num="1"/>
        </w:sectPr>
      </w:pPr>
    </w:p>
    <w:p w14:paraId="2BC12AFF">
      <w:pPr>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rFonts w:ascii="宋体" w:hAnsi="宋体" w:eastAsia="宋体" w:cs="宋体"/>
          <w:sz w:val="23"/>
          <w:szCs w:val="23"/>
        </w:rPr>
      </w:pPr>
      <w:r>
        <w:rPr>
          <w:rFonts w:ascii="宋体" w:hAnsi="宋体" w:eastAsia="宋体" w:cs="宋体"/>
          <w:b/>
          <w:bCs/>
          <w:spacing w:val="-3"/>
          <w:sz w:val="23"/>
          <w:szCs w:val="23"/>
        </w:rPr>
        <w:t>附件二：房屋配套设施/设备交接单</w:t>
      </w:r>
    </w:p>
    <w:p w14:paraId="520F7B06">
      <w:pPr>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pPr>
    </w:p>
    <w:tbl>
      <w:tblPr>
        <w:tblStyle w:val="6"/>
        <w:tblW w:w="8200"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270"/>
        <w:gridCol w:w="429"/>
        <w:gridCol w:w="1718"/>
        <w:gridCol w:w="799"/>
        <w:gridCol w:w="949"/>
        <w:gridCol w:w="409"/>
        <w:gridCol w:w="390"/>
        <w:gridCol w:w="419"/>
        <w:gridCol w:w="1099"/>
        <w:gridCol w:w="404"/>
      </w:tblGrid>
      <w:tr w14:paraId="0485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013" w:type="dxa"/>
            <w:gridSpan w:val="3"/>
            <w:vAlign w:val="center"/>
          </w:tcPr>
          <w:p w14:paraId="636F1DB1">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b/>
                <w:bCs/>
                <w:spacing w:val="0"/>
                <w:position w:val="0"/>
                <w:sz w:val="24"/>
                <w:szCs w:val="24"/>
              </w:rPr>
              <w:t>出租方(甲方)</w:t>
            </w:r>
          </w:p>
        </w:tc>
        <w:tc>
          <w:tcPr>
            <w:tcW w:w="6187" w:type="dxa"/>
            <w:gridSpan w:val="8"/>
            <w:vAlign w:val="center"/>
          </w:tcPr>
          <w:p w14:paraId="066B4B67">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38ADE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013" w:type="dxa"/>
            <w:gridSpan w:val="3"/>
            <w:vMerge w:val="restart"/>
            <w:tcBorders>
              <w:bottom w:val="nil"/>
            </w:tcBorders>
            <w:vAlign w:val="center"/>
          </w:tcPr>
          <w:p w14:paraId="0FC82AD5">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b/>
                <w:bCs/>
                <w:spacing w:val="0"/>
                <w:position w:val="0"/>
                <w:sz w:val="24"/>
                <w:szCs w:val="24"/>
              </w:rPr>
              <w:t>承租方(乙方)</w:t>
            </w:r>
          </w:p>
        </w:tc>
        <w:tc>
          <w:tcPr>
            <w:tcW w:w="2517" w:type="dxa"/>
            <w:gridSpan w:val="2"/>
            <w:vMerge w:val="restart"/>
            <w:tcBorders>
              <w:bottom w:val="nil"/>
            </w:tcBorders>
            <w:vAlign w:val="center"/>
          </w:tcPr>
          <w:p w14:paraId="1F60F155">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1748" w:type="dxa"/>
            <w:gridSpan w:val="3"/>
            <w:vAlign w:val="center"/>
          </w:tcPr>
          <w:p w14:paraId="19DEE359">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授权代表</w:t>
            </w:r>
          </w:p>
        </w:tc>
        <w:tc>
          <w:tcPr>
            <w:tcW w:w="1922" w:type="dxa"/>
            <w:gridSpan w:val="3"/>
            <w:vAlign w:val="center"/>
          </w:tcPr>
          <w:p w14:paraId="73C380A2">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电话</w:t>
            </w:r>
          </w:p>
        </w:tc>
      </w:tr>
      <w:tr w14:paraId="22DF8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013" w:type="dxa"/>
            <w:gridSpan w:val="3"/>
            <w:vMerge w:val="continue"/>
            <w:tcBorders>
              <w:top w:val="nil"/>
            </w:tcBorders>
            <w:vAlign w:val="center"/>
          </w:tcPr>
          <w:p w14:paraId="26B9F4A0">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517" w:type="dxa"/>
            <w:gridSpan w:val="2"/>
            <w:vMerge w:val="continue"/>
            <w:tcBorders>
              <w:top w:val="nil"/>
            </w:tcBorders>
            <w:vAlign w:val="center"/>
          </w:tcPr>
          <w:p w14:paraId="35BA7724">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1748" w:type="dxa"/>
            <w:gridSpan w:val="3"/>
            <w:vAlign w:val="center"/>
          </w:tcPr>
          <w:p w14:paraId="44A93621">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1922" w:type="dxa"/>
            <w:gridSpan w:val="3"/>
            <w:vAlign w:val="center"/>
          </w:tcPr>
          <w:p w14:paraId="6A7EA9F7">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1D50E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00" w:type="dxa"/>
            <w:gridSpan w:val="11"/>
            <w:vAlign w:val="center"/>
          </w:tcPr>
          <w:p w14:paraId="6B5D16C7">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b/>
                <w:bCs/>
                <w:spacing w:val="0"/>
                <w:position w:val="0"/>
                <w:sz w:val="24"/>
                <w:szCs w:val="24"/>
              </w:rPr>
              <w:t>物业信息</w:t>
            </w:r>
          </w:p>
        </w:tc>
      </w:tr>
      <w:tr w14:paraId="3D40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584" w:type="dxa"/>
            <w:gridSpan w:val="2"/>
            <w:vAlign w:val="center"/>
          </w:tcPr>
          <w:p w14:paraId="3D4D6CCE">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区域</w:t>
            </w:r>
          </w:p>
        </w:tc>
        <w:tc>
          <w:tcPr>
            <w:tcW w:w="2147" w:type="dxa"/>
            <w:gridSpan w:val="2"/>
            <w:vAlign w:val="center"/>
          </w:tcPr>
          <w:p w14:paraId="28401101">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编号</w:t>
            </w:r>
          </w:p>
        </w:tc>
        <w:tc>
          <w:tcPr>
            <w:tcW w:w="1748" w:type="dxa"/>
            <w:gridSpan w:val="2"/>
            <w:vAlign w:val="center"/>
          </w:tcPr>
          <w:p w14:paraId="647DA798">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面积</w:t>
            </w:r>
          </w:p>
        </w:tc>
        <w:tc>
          <w:tcPr>
            <w:tcW w:w="1218" w:type="dxa"/>
            <w:gridSpan w:val="3"/>
            <w:vAlign w:val="center"/>
          </w:tcPr>
          <w:p w14:paraId="016BD26B">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层数</w:t>
            </w:r>
          </w:p>
        </w:tc>
        <w:tc>
          <w:tcPr>
            <w:tcW w:w="1503" w:type="dxa"/>
            <w:gridSpan w:val="2"/>
            <w:vAlign w:val="center"/>
          </w:tcPr>
          <w:p w14:paraId="6B043AD5">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结构</w:t>
            </w:r>
          </w:p>
        </w:tc>
      </w:tr>
      <w:tr w14:paraId="02DC8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84" w:type="dxa"/>
            <w:gridSpan w:val="2"/>
            <w:vAlign w:val="center"/>
          </w:tcPr>
          <w:p w14:paraId="1D1B8674">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147" w:type="dxa"/>
            <w:gridSpan w:val="2"/>
            <w:vAlign w:val="center"/>
          </w:tcPr>
          <w:p w14:paraId="407652FC">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1748" w:type="dxa"/>
            <w:gridSpan w:val="2"/>
            <w:vAlign w:val="center"/>
          </w:tcPr>
          <w:p w14:paraId="32658E8A">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1218" w:type="dxa"/>
            <w:gridSpan w:val="3"/>
            <w:vAlign w:val="center"/>
          </w:tcPr>
          <w:p w14:paraId="69CA5B10">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1503" w:type="dxa"/>
            <w:gridSpan w:val="2"/>
            <w:vAlign w:val="center"/>
          </w:tcPr>
          <w:p w14:paraId="0EAEE191">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1BCD9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200" w:type="dxa"/>
            <w:gridSpan w:val="11"/>
            <w:vAlign w:val="center"/>
          </w:tcPr>
          <w:p w14:paraId="45BEDC27">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b/>
                <w:bCs/>
                <w:spacing w:val="0"/>
                <w:position w:val="0"/>
                <w:sz w:val="24"/>
                <w:szCs w:val="24"/>
              </w:rPr>
              <w:t>确认内容</w:t>
            </w:r>
          </w:p>
        </w:tc>
      </w:tr>
      <w:tr w14:paraId="1DA1D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14" w:type="dxa"/>
            <w:vAlign w:val="center"/>
          </w:tcPr>
          <w:p w14:paraId="472525F3">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b/>
                <w:bCs/>
                <w:spacing w:val="0"/>
                <w:position w:val="0"/>
                <w:sz w:val="24"/>
                <w:szCs w:val="24"/>
              </w:rPr>
              <w:t>文件资料</w:t>
            </w:r>
          </w:p>
        </w:tc>
        <w:tc>
          <w:tcPr>
            <w:tcW w:w="6886" w:type="dxa"/>
            <w:gridSpan w:val="10"/>
            <w:vAlign w:val="center"/>
          </w:tcPr>
          <w:p w14:paraId="4AADC5E7">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口租赁合同□消防责任书□被授权人身份证口营业执照</w:t>
            </w:r>
          </w:p>
        </w:tc>
      </w:tr>
      <w:tr w14:paraId="38D9B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314" w:type="dxa"/>
            <w:vMerge w:val="restart"/>
            <w:tcBorders>
              <w:bottom w:val="nil"/>
            </w:tcBorders>
            <w:vAlign w:val="center"/>
          </w:tcPr>
          <w:p w14:paraId="76B5A5F9">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p w14:paraId="4FE93BA2">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b/>
                <w:bCs/>
                <w:spacing w:val="0"/>
                <w:position w:val="0"/>
                <w:sz w:val="24"/>
                <w:szCs w:val="24"/>
              </w:rPr>
              <w:t>电气设施</w:t>
            </w:r>
          </w:p>
        </w:tc>
        <w:tc>
          <w:tcPr>
            <w:tcW w:w="2417" w:type="dxa"/>
            <w:gridSpan w:val="3"/>
            <w:vAlign w:val="center"/>
          </w:tcPr>
          <w:p w14:paraId="67832E93">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配电设施</w:t>
            </w:r>
          </w:p>
        </w:tc>
        <w:tc>
          <w:tcPr>
            <w:tcW w:w="2157" w:type="dxa"/>
            <w:gridSpan w:val="3"/>
            <w:vAlign w:val="center"/>
          </w:tcPr>
          <w:p w14:paraId="4A302132">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进户空开</w:t>
            </w:r>
          </w:p>
        </w:tc>
        <w:tc>
          <w:tcPr>
            <w:tcW w:w="2312" w:type="dxa"/>
            <w:gridSpan w:val="4"/>
            <w:vAlign w:val="center"/>
          </w:tcPr>
          <w:p w14:paraId="1467F822">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额定容量</w:t>
            </w:r>
          </w:p>
        </w:tc>
      </w:tr>
      <w:tr w14:paraId="41938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14" w:type="dxa"/>
            <w:vMerge w:val="continue"/>
            <w:tcBorders>
              <w:top w:val="nil"/>
              <w:bottom w:val="nil"/>
            </w:tcBorders>
            <w:vAlign w:val="center"/>
          </w:tcPr>
          <w:p w14:paraId="1AC26012">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417" w:type="dxa"/>
            <w:gridSpan w:val="3"/>
            <w:vAlign w:val="center"/>
          </w:tcPr>
          <w:p w14:paraId="2F6A79FC">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157" w:type="dxa"/>
            <w:gridSpan w:val="3"/>
            <w:vAlign w:val="center"/>
          </w:tcPr>
          <w:p w14:paraId="473CC801">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A</w:t>
            </w:r>
          </w:p>
        </w:tc>
        <w:tc>
          <w:tcPr>
            <w:tcW w:w="2312" w:type="dxa"/>
            <w:gridSpan w:val="4"/>
            <w:vAlign w:val="center"/>
          </w:tcPr>
          <w:p w14:paraId="7C89EF6C">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KW</w:t>
            </w:r>
          </w:p>
        </w:tc>
      </w:tr>
      <w:tr w14:paraId="2AF0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14" w:type="dxa"/>
            <w:vMerge w:val="continue"/>
            <w:tcBorders>
              <w:top w:val="nil"/>
              <w:bottom w:val="nil"/>
            </w:tcBorders>
            <w:vAlign w:val="center"/>
          </w:tcPr>
          <w:p w14:paraId="3D9CB8D9">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417" w:type="dxa"/>
            <w:gridSpan w:val="3"/>
            <w:vAlign w:val="center"/>
          </w:tcPr>
          <w:p w14:paraId="63600A16">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电表</w:t>
            </w:r>
          </w:p>
        </w:tc>
        <w:tc>
          <w:tcPr>
            <w:tcW w:w="2157" w:type="dxa"/>
            <w:gridSpan w:val="3"/>
            <w:vAlign w:val="center"/>
          </w:tcPr>
          <w:p w14:paraId="608BCD8C">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表号</w:t>
            </w:r>
          </w:p>
        </w:tc>
        <w:tc>
          <w:tcPr>
            <w:tcW w:w="2312" w:type="dxa"/>
            <w:gridSpan w:val="4"/>
            <w:vAlign w:val="center"/>
          </w:tcPr>
          <w:p w14:paraId="145C55BD">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读数</w:t>
            </w:r>
          </w:p>
        </w:tc>
      </w:tr>
      <w:tr w14:paraId="06DFA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4" w:type="dxa"/>
            <w:vMerge w:val="continue"/>
            <w:tcBorders>
              <w:top w:val="nil"/>
            </w:tcBorders>
            <w:vAlign w:val="center"/>
          </w:tcPr>
          <w:p w14:paraId="4AFBEC81">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417" w:type="dxa"/>
            <w:gridSpan w:val="3"/>
            <w:vAlign w:val="center"/>
          </w:tcPr>
          <w:p w14:paraId="2CA21F1B">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157" w:type="dxa"/>
            <w:gridSpan w:val="3"/>
            <w:vAlign w:val="center"/>
          </w:tcPr>
          <w:p w14:paraId="0A1C6B29">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312" w:type="dxa"/>
            <w:gridSpan w:val="4"/>
            <w:vAlign w:val="center"/>
          </w:tcPr>
          <w:p w14:paraId="65071315">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7C5F1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14" w:type="dxa"/>
            <w:vMerge w:val="restart"/>
            <w:tcBorders>
              <w:bottom w:val="nil"/>
            </w:tcBorders>
            <w:vAlign w:val="center"/>
          </w:tcPr>
          <w:p w14:paraId="58AB5C04">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p w14:paraId="39848CDA">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hanging="39"/>
              <w:jc w:val="center"/>
              <w:textAlignment w:val="baseline"/>
              <w:rPr>
                <w:spacing w:val="0"/>
                <w:position w:val="0"/>
                <w:sz w:val="24"/>
                <w:szCs w:val="24"/>
              </w:rPr>
            </w:pPr>
            <w:r>
              <w:rPr>
                <w:spacing w:val="0"/>
                <w:position w:val="0"/>
                <w:sz w:val="24"/>
                <w:szCs w:val="24"/>
              </w:rPr>
              <w:t>给排水设施</w:t>
            </w:r>
          </w:p>
        </w:tc>
        <w:tc>
          <w:tcPr>
            <w:tcW w:w="2417" w:type="dxa"/>
            <w:gridSpan w:val="3"/>
            <w:vAlign w:val="center"/>
          </w:tcPr>
          <w:p w14:paraId="0EBF6C83">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水表</w:t>
            </w:r>
          </w:p>
        </w:tc>
        <w:tc>
          <w:tcPr>
            <w:tcW w:w="2157" w:type="dxa"/>
            <w:gridSpan w:val="3"/>
            <w:vAlign w:val="center"/>
          </w:tcPr>
          <w:p w14:paraId="730D0474">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表号</w:t>
            </w:r>
          </w:p>
        </w:tc>
        <w:tc>
          <w:tcPr>
            <w:tcW w:w="2312" w:type="dxa"/>
            <w:gridSpan w:val="4"/>
            <w:vAlign w:val="center"/>
          </w:tcPr>
          <w:p w14:paraId="53977139">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读数</w:t>
            </w:r>
          </w:p>
        </w:tc>
      </w:tr>
      <w:tr w14:paraId="72435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14" w:type="dxa"/>
            <w:vMerge w:val="continue"/>
            <w:tcBorders>
              <w:top w:val="nil"/>
              <w:bottom w:val="nil"/>
            </w:tcBorders>
            <w:vAlign w:val="center"/>
          </w:tcPr>
          <w:p w14:paraId="180344C5">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417" w:type="dxa"/>
            <w:gridSpan w:val="3"/>
            <w:vAlign w:val="center"/>
          </w:tcPr>
          <w:p w14:paraId="0C43E525">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157" w:type="dxa"/>
            <w:gridSpan w:val="3"/>
            <w:vAlign w:val="center"/>
          </w:tcPr>
          <w:p w14:paraId="5EDED759">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312" w:type="dxa"/>
            <w:gridSpan w:val="4"/>
            <w:vAlign w:val="center"/>
          </w:tcPr>
          <w:p w14:paraId="1BBA6572">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7C0B1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14" w:type="dxa"/>
            <w:vMerge w:val="continue"/>
            <w:tcBorders>
              <w:top w:val="nil"/>
              <w:bottom w:val="nil"/>
            </w:tcBorders>
            <w:vAlign w:val="center"/>
          </w:tcPr>
          <w:p w14:paraId="6FC45EFD">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417" w:type="dxa"/>
            <w:gridSpan w:val="3"/>
            <w:vAlign w:val="center"/>
          </w:tcPr>
          <w:p w14:paraId="14689143">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给水总阀/管</w:t>
            </w:r>
          </w:p>
        </w:tc>
        <w:tc>
          <w:tcPr>
            <w:tcW w:w="2157" w:type="dxa"/>
            <w:gridSpan w:val="3"/>
            <w:vAlign w:val="center"/>
          </w:tcPr>
          <w:p w14:paraId="75436B31">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排污管道</w:t>
            </w:r>
          </w:p>
        </w:tc>
        <w:tc>
          <w:tcPr>
            <w:tcW w:w="2312" w:type="dxa"/>
            <w:gridSpan w:val="4"/>
            <w:vAlign w:val="center"/>
          </w:tcPr>
          <w:p w14:paraId="0C45E441">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465E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14" w:type="dxa"/>
            <w:vMerge w:val="continue"/>
            <w:tcBorders>
              <w:top w:val="nil"/>
            </w:tcBorders>
            <w:vAlign w:val="center"/>
          </w:tcPr>
          <w:p w14:paraId="670EC4D9">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417" w:type="dxa"/>
            <w:gridSpan w:val="3"/>
            <w:vAlign w:val="center"/>
          </w:tcPr>
          <w:p w14:paraId="6C517957">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157" w:type="dxa"/>
            <w:gridSpan w:val="3"/>
            <w:vAlign w:val="center"/>
          </w:tcPr>
          <w:p w14:paraId="091710CF">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2312" w:type="dxa"/>
            <w:gridSpan w:val="4"/>
            <w:vAlign w:val="center"/>
          </w:tcPr>
          <w:p w14:paraId="1CAE05D4">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4E305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4" w:type="dxa"/>
            <w:vMerge w:val="restart"/>
            <w:tcBorders>
              <w:bottom w:val="nil"/>
            </w:tcBorders>
            <w:vAlign w:val="center"/>
          </w:tcPr>
          <w:p w14:paraId="44D5F0E7">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配套设施</w:t>
            </w:r>
          </w:p>
        </w:tc>
        <w:tc>
          <w:tcPr>
            <w:tcW w:w="6482" w:type="dxa"/>
            <w:gridSpan w:val="9"/>
            <w:vAlign w:val="center"/>
          </w:tcPr>
          <w:p w14:paraId="299D064D">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弱电设施</w:t>
            </w:r>
          </w:p>
        </w:tc>
        <w:tc>
          <w:tcPr>
            <w:tcW w:w="404" w:type="dxa"/>
            <w:vAlign w:val="center"/>
          </w:tcPr>
          <w:p w14:paraId="15162E67">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76AF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14" w:type="dxa"/>
            <w:vMerge w:val="continue"/>
            <w:tcBorders>
              <w:top w:val="nil"/>
            </w:tcBorders>
            <w:vAlign w:val="center"/>
          </w:tcPr>
          <w:p w14:paraId="6A7FABFE">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6482" w:type="dxa"/>
            <w:gridSpan w:val="9"/>
            <w:vAlign w:val="center"/>
          </w:tcPr>
          <w:p w14:paraId="7D8001A7">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c>
          <w:tcPr>
            <w:tcW w:w="404" w:type="dxa"/>
            <w:vAlign w:val="center"/>
          </w:tcPr>
          <w:p w14:paraId="1206BAAA">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3BE9D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314" w:type="dxa"/>
            <w:vAlign w:val="center"/>
          </w:tcPr>
          <w:p w14:paraId="1BCF71B7">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现状移交</w:t>
            </w:r>
          </w:p>
        </w:tc>
        <w:tc>
          <w:tcPr>
            <w:tcW w:w="2417" w:type="dxa"/>
            <w:gridSpan w:val="3"/>
            <w:vAlign w:val="center"/>
          </w:tcPr>
          <w:p w14:paraId="090B3551">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口是口否</w:t>
            </w:r>
          </w:p>
        </w:tc>
        <w:tc>
          <w:tcPr>
            <w:tcW w:w="2157" w:type="dxa"/>
            <w:gridSpan w:val="3"/>
            <w:vAlign w:val="center"/>
          </w:tcPr>
          <w:p w14:paraId="32489815">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备注</w:t>
            </w:r>
          </w:p>
        </w:tc>
        <w:tc>
          <w:tcPr>
            <w:tcW w:w="2312" w:type="dxa"/>
            <w:gridSpan w:val="4"/>
            <w:vAlign w:val="center"/>
          </w:tcPr>
          <w:p w14:paraId="3AD9D22B">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30F0B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200" w:type="dxa"/>
            <w:gridSpan w:val="11"/>
            <w:vAlign w:val="center"/>
          </w:tcPr>
          <w:p w14:paraId="5F8AE6EA">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b/>
                <w:bCs/>
                <w:spacing w:val="0"/>
                <w:position w:val="0"/>
                <w:sz w:val="24"/>
                <w:szCs w:val="24"/>
              </w:rPr>
              <w:t>确认意见</w:t>
            </w:r>
          </w:p>
        </w:tc>
      </w:tr>
      <w:tr w14:paraId="36FBB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14" w:type="dxa"/>
            <w:vAlign w:val="center"/>
          </w:tcPr>
          <w:p w14:paraId="4CAABDC3">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出租方</w:t>
            </w:r>
          </w:p>
        </w:tc>
        <w:tc>
          <w:tcPr>
            <w:tcW w:w="6886" w:type="dxa"/>
            <w:gridSpan w:val="10"/>
            <w:vAlign w:val="center"/>
          </w:tcPr>
          <w:p w14:paraId="2D9A3921">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r w14:paraId="373A9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14" w:type="dxa"/>
            <w:vAlign w:val="center"/>
          </w:tcPr>
          <w:p w14:paraId="683790D3">
            <w:pPr>
              <w:pStyle w:val="7"/>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spacing w:val="0"/>
                <w:position w:val="0"/>
                <w:sz w:val="24"/>
                <w:szCs w:val="24"/>
              </w:rPr>
            </w:pPr>
            <w:r>
              <w:rPr>
                <w:spacing w:val="0"/>
                <w:position w:val="0"/>
                <w:sz w:val="24"/>
                <w:szCs w:val="24"/>
              </w:rPr>
              <w:t>承租方</w:t>
            </w:r>
          </w:p>
        </w:tc>
        <w:tc>
          <w:tcPr>
            <w:tcW w:w="6886" w:type="dxa"/>
            <w:gridSpan w:val="10"/>
            <w:vAlign w:val="center"/>
          </w:tcPr>
          <w:p w14:paraId="33E0184A">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baseline"/>
              <w:rPr>
                <w:rFonts w:ascii="Arial"/>
                <w:spacing w:val="0"/>
                <w:position w:val="0"/>
                <w:sz w:val="21"/>
              </w:rPr>
            </w:pPr>
          </w:p>
        </w:tc>
      </w:tr>
    </w:tbl>
    <w:p w14:paraId="6CE8C288">
      <w:pPr>
        <w:keepNext w:val="0"/>
        <w:keepLines w:val="0"/>
        <w:pageBreakBefore w:val="0"/>
        <w:widowControl w:val="0"/>
        <w:kinsoku/>
        <w:wordWrap/>
        <w:overflowPunct/>
        <w:topLinePunct w:val="0"/>
        <w:autoSpaceDE/>
        <w:autoSpaceDN/>
        <w:bidi w:val="0"/>
        <w:adjustRightInd w:val="0"/>
        <w:snapToGrid w:val="0"/>
        <w:spacing w:before="0" w:beforeLines="50" w:line="360" w:lineRule="auto"/>
        <w:ind w:left="0" w:right="0" w:firstLine="848" w:firstLineChars="400"/>
        <w:jc w:val="right"/>
        <w:textAlignment w:val="baseline"/>
        <w:rPr>
          <w:rFonts w:ascii="Arial"/>
          <w:sz w:val="21"/>
        </w:rPr>
      </w:pPr>
      <w:r>
        <w:rPr>
          <w:rFonts w:ascii="宋体" w:hAnsi="宋体" w:eastAsia="宋体" w:cs="宋体"/>
          <w:spacing w:val="-9"/>
          <w:sz w:val="23"/>
          <w:szCs w:val="23"/>
        </w:rPr>
        <w:t>年</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月</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日</w:t>
      </w:r>
    </w:p>
    <w:sectPr>
      <w:headerReference r:id="rId9" w:type="default"/>
      <w:footerReference r:id="rId10" w:type="default"/>
      <w:pgSz w:w="11900" w:h="16830"/>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C1E2">
    <w:pPr>
      <w:spacing w:before="1" w:line="210" w:lineRule="auto"/>
      <w:ind w:left="3604"/>
      <w:rPr>
        <w:rFonts w:ascii="宋体" w:hAnsi="宋体" w:eastAsia="宋体" w:cs="宋体"/>
        <w:sz w:val="22"/>
        <w:szCs w:val="22"/>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4B13F">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44B13F">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2246">
    <w:pPr>
      <w:spacing w:line="210" w:lineRule="auto"/>
      <w:ind w:left="3475"/>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12D92">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612D92">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0A0D">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881B6">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D881B6">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508A">
    <w:pPr>
      <w:pStyle w:val="2"/>
      <w:spacing w:before="13" w:line="192" w:lineRule="auto"/>
      <w:ind w:left="3386"/>
      <w:rPr>
        <w:sz w:val="17"/>
        <w:szCs w:val="17"/>
      </w:rPr>
    </w:pPr>
    <w:r>
      <w:drawing>
        <wp:anchor distT="0" distB="0" distL="0" distR="0" simplePos="0" relativeHeight="251659264" behindDoc="0" locked="0" layoutInCell="1" allowOverlap="1">
          <wp:simplePos x="0" y="0"/>
          <wp:positionH relativeFrom="column">
            <wp:posOffset>104775</wp:posOffset>
          </wp:positionH>
          <wp:positionV relativeFrom="paragraph">
            <wp:posOffset>109855</wp:posOffset>
          </wp:positionV>
          <wp:extent cx="5016500" cy="6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016458" cy="6350"/>
                  </a:xfrm>
                  <a:prstGeom prst="rect">
                    <a:avLst/>
                  </a:prstGeom>
                </pic:spPr>
              </pic:pic>
            </a:graphicData>
          </a:graphic>
        </wp:anchor>
      </w:drawing>
    </w:r>
    <w:r>
      <w:rPr>
        <w:spacing w:val="-12"/>
        <w:sz w:val="17"/>
        <w:szCs w:val="17"/>
      </w:rPr>
      <w:t>房屋租赁合同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979A">
    <w:pPr>
      <w:pStyle w:val="2"/>
      <w:spacing w:before="12" w:line="191" w:lineRule="auto"/>
      <w:ind w:left="3452"/>
      <w:rPr>
        <w:sz w:val="16"/>
        <w:szCs w:val="16"/>
      </w:rPr>
    </w:pPr>
    <w:r>
      <w:drawing>
        <wp:anchor distT="0" distB="0" distL="0" distR="0" simplePos="0" relativeHeight="251660288" behindDoc="0" locked="0" layoutInCell="1" allowOverlap="1">
          <wp:simplePos x="0" y="0"/>
          <wp:positionH relativeFrom="column">
            <wp:posOffset>123825</wp:posOffset>
          </wp:positionH>
          <wp:positionV relativeFrom="paragraph">
            <wp:posOffset>103505</wp:posOffset>
          </wp:positionV>
          <wp:extent cx="5016500"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016458" cy="6350"/>
                  </a:xfrm>
                  <a:prstGeom prst="rect">
                    <a:avLst/>
                  </a:prstGeom>
                </pic:spPr>
              </pic:pic>
            </a:graphicData>
          </a:graphic>
        </wp:anchor>
      </w:drawing>
    </w:r>
    <w:r>
      <w:rPr>
        <w:spacing w:val="-11"/>
        <w:sz w:val="16"/>
        <w:szCs w:val="16"/>
      </w:rPr>
      <w:t>房屋租赁合同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EFD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YzYzg0NzlmNDZlNTViMWRlZmIwYTlhYWM4YTUwOTcifQ=="/>
  </w:docVars>
  <w:rsids>
    <w:rsidRoot w:val="00000000"/>
    <w:rsid w:val="157A7DD4"/>
    <w:rsid w:val="28692D87"/>
    <w:rsid w:val="46FF5515"/>
    <w:rsid w:val="559870B0"/>
    <w:rsid w:val="580D12A4"/>
    <w:rsid w:val="599C704D"/>
    <w:rsid w:val="689F04F4"/>
    <w:rsid w:val="6B2D78C6"/>
    <w:rsid w:val="72F57740"/>
    <w:rsid w:val="7FFF2D41"/>
    <w:rsid w:val="EAA72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2"/>
      <w:szCs w:val="2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5894</Words>
  <Characters>6110</Characters>
  <TotalTime>139</TotalTime>
  <ScaleCrop>false</ScaleCrop>
  <LinksUpToDate>false</LinksUpToDate>
  <CharactersWithSpaces>6556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2025-01-15T13:59:00Z</dcterms:created>
  <dc:creator>Kingsoft-PDF</dc:creator>
  <cp:lastModifiedBy>k</cp:lastModifiedBy>
  <dcterms:modified xsi:type="dcterms:W3CDTF">2025-02-14T06:12:07Z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2025-01-14T13:59:46Z</vt:filetime>
  </property>
  <property fmtid="{D5CDD505-2E9C-101B-9397-08002B2CF9AE}" pid="4" name="UsrData">
    <vt:lpwstr>6785fd4c5bc42f001fd55b50wl</vt:lpwstr>
  </property>
  <property fmtid="{D5CDD505-2E9C-101B-9397-08002B2CF9AE}" pid="5" name="KSOProductBuildVer">
    <vt:lpwstr>2052-12.1.0.19770</vt:lpwstr>
  </property>
  <property fmtid="{D5CDD505-2E9C-101B-9397-08002B2CF9AE}" pid="6" name="ICV">
    <vt:lpwstr>CB424A7F5BF64E59A994A73FD21CCE69_13</vt:lpwstr>
  </property>
  <property fmtid="{D5CDD505-2E9C-101B-9397-08002B2CF9AE}" pid="7" name="KSOTemplateDocerSaveRecord">
    <vt:lpwstr>eyJoZGlkIjoiYTRmZTg4YTg3OTkxNDNiMGE2ZTM4YzhiYWM4OTZmZWYiLCJ1c2VySWQiOiI5NTMwNTIxNDkifQ==</vt:lpwstr>
  </property>
</Properties>
</file>