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保安桥河下18号1单元102室房屋2年租赁权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084CA1"/>
    <w:rsid w:val="4C30746F"/>
    <w:rsid w:val="4CB17B78"/>
    <w:rsid w:val="4D7B632C"/>
    <w:rsid w:val="4E081184"/>
    <w:rsid w:val="4E2B2C17"/>
    <w:rsid w:val="4E4B40B1"/>
    <w:rsid w:val="4E640711"/>
    <w:rsid w:val="4EBB669C"/>
    <w:rsid w:val="4F0021F9"/>
    <w:rsid w:val="4F297EC5"/>
    <w:rsid w:val="4F2B7DAD"/>
    <w:rsid w:val="4F733141"/>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2025-02-05T06:08:00Z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938E213598EE421AB3D9F570567EC6FA</vt:lpwstr>
  </property>
</Properties>
</file>