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360"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杭州企业产权交易中心有限公司：</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我方拟承租</w:t>
      </w:r>
      <w:bookmarkStart w:id="0" w:name="OLE_LINK2"/>
      <w:bookmarkStart w:id="1" w:name="OLE_LINK30"/>
      <w:r>
        <w:rPr>
          <w:rFonts w:hint="eastAsia" w:asciiTheme="minorEastAsia" w:hAnsiTheme="minorEastAsia" w:eastAsiaTheme="minorEastAsia"/>
          <w:szCs w:val="21"/>
        </w:rPr>
        <w:t>杭州市拱墅区</w:t>
      </w:r>
      <w:r>
        <w:rPr>
          <w:rFonts w:hint="eastAsia" w:asciiTheme="minorEastAsia" w:hAnsiTheme="minorEastAsia" w:eastAsiaTheme="minorEastAsia"/>
          <w:szCs w:val="21"/>
          <w:lang w:val="en-US" w:eastAsia="zh-CN"/>
        </w:rPr>
        <w:t>青坤青亭商业中心69套房屋及58个车位</w:t>
      </w:r>
      <w:bookmarkEnd w:id="0"/>
      <w:r>
        <w:rPr>
          <w:rFonts w:hint="eastAsia" w:asciiTheme="minorEastAsia" w:hAnsiTheme="minorEastAsia" w:eastAsiaTheme="minorEastAsia"/>
          <w:szCs w:val="21"/>
          <w:lang w:val="en-US" w:eastAsia="zh-CN"/>
        </w:rPr>
        <w:t>5年租赁权</w:t>
      </w:r>
      <w:bookmarkEnd w:id="1"/>
      <w:r>
        <w:rPr>
          <w:rFonts w:hint="eastAsia" w:asciiTheme="minorEastAsia" w:hAnsiTheme="minorEastAsia" w:eastAsiaTheme="minorEastAsia"/>
          <w:szCs w:val="21"/>
        </w:rPr>
        <w:t>，现做如下承诺：</w:t>
      </w:r>
    </w:p>
    <w:p>
      <w:pPr>
        <w:numPr>
          <w:ilvl w:val="0"/>
          <w:numId w:val="1"/>
        </w:numPr>
        <w:spacing w:line="336"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我方已认真阅读、知悉并自愿遵守杭州产权交易所《房屋出租交易规则》、《在线报价实施办法》和《在线报价交易须知》等文件的规定，同意按照相关规定参加本项目竞价活动。</w:t>
      </w:r>
    </w:p>
    <w:p>
      <w:pPr>
        <w:widowControl/>
        <w:tabs>
          <w:tab w:val="left" w:pos="6975"/>
        </w:tabs>
        <w:spacing w:line="360" w:lineRule="auto"/>
        <w:ind w:firstLine="420" w:firstLineChars="200"/>
        <w:jc w:val="left"/>
        <w:rPr>
          <w:rFonts w:asciiTheme="minorEastAsia" w:hAnsiTheme="minorEastAsia" w:eastAsiaTheme="minorEastAsia"/>
          <w:szCs w:val="21"/>
        </w:rPr>
      </w:pPr>
      <w:r>
        <w:rPr>
          <w:rFonts w:hint="eastAsia" w:cs="Times New Roman" w:asciiTheme="minorEastAsia" w:hAnsiTheme="minorEastAsia" w:eastAsiaTheme="minorEastAsia"/>
          <w:szCs w:val="21"/>
        </w:rPr>
        <w:t>2、我方提交</w:t>
      </w:r>
      <w:r>
        <w:rPr>
          <w:rFonts w:hint="eastAsia" w:cs="Times New Roman" w:asciiTheme="minorEastAsia" w:hAnsiTheme="minorEastAsia" w:eastAsiaTheme="minorEastAsia"/>
          <w:szCs w:val="21"/>
          <w:lang w:eastAsia="zh-CN"/>
        </w:rPr>
        <w:t>承租</w:t>
      </w:r>
      <w:r>
        <w:rPr>
          <w:rFonts w:hint="eastAsia" w:cs="Times New Roman" w:asciiTheme="minorEastAsia" w:hAnsiTheme="minorEastAsia" w:eastAsiaTheme="minorEastAsia"/>
          <w:szCs w:val="21"/>
        </w:rPr>
        <w:t>申请</w:t>
      </w:r>
      <w:r>
        <w:rPr>
          <w:rFonts w:hint="eastAsia" w:cs="Times New Roman" w:asciiTheme="minorEastAsia" w:hAnsiTheme="minorEastAsia" w:eastAsiaTheme="minorEastAsia"/>
          <w:szCs w:val="21"/>
          <w:lang w:val="en-US" w:eastAsia="zh-CN"/>
        </w:rPr>
        <w:t>材料</w:t>
      </w:r>
      <w:r>
        <w:rPr>
          <w:rFonts w:hint="eastAsia" w:cs="Times New Roman" w:asciiTheme="minorEastAsia" w:hAnsiTheme="minorEastAsia" w:eastAsiaTheme="minorEastAsia"/>
          <w:szCs w:val="21"/>
        </w:rPr>
        <w:t>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3、意在被确定为承租方之日起3个工作日内携带报名时上传的主体资格证明等相关文件原件至杭交所完成现场确认和签署《成交通知书》、</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房屋租赁合同》</w:t>
      </w:r>
      <w:r>
        <w:rPr>
          <w:rFonts w:hint="eastAsia" w:asciiTheme="minorEastAsia" w:hAnsiTheme="minorEastAsia" w:eastAsiaTheme="minorEastAsia"/>
          <w:szCs w:val="21"/>
        </w:rPr>
        <w:t>等相关文件；并在《成交通知书》、</w:t>
      </w:r>
      <w:r>
        <w:rPr>
          <w:rFonts w:hint="eastAsia" w:asciiTheme="minorEastAsia" w:hAnsiTheme="minorEastAsia" w:eastAsiaTheme="minorEastAsia"/>
          <w:szCs w:val="21"/>
          <w:lang w:eastAsia="zh-CN"/>
        </w:rPr>
        <w:t>《房屋租赁合同》</w:t>
      </w:r>
      <w:r>
        <w:rPr>
          <w:rFonts w:hint="eastAsia" w:asciiTheme="minorEastAsia" w:hAnsiTheme="minorEastAsia" w:eastAsiaTheme="minorEastAsia"/>
          <w:szCs w:val="21"/>
        </w:rPr>
        <w:t>等相关文件签署之日起5个工作日内向杭交所指定账户一次性支付首期租金、交易服务费、履约保证金等交易资金（以到账时间为准）。</w:t>
      </w:r>
    </w:p>
    <w:p>
      <w:pPr>
        <w:spacing w:line="336" w:lineRule="auto"/>
        <w:ind w:firstLine="420" w:firstLineChars="200"/>
        <w:rPr>
          <w:rFonts w:asciiTheme="minorEastAsia" w:hAnsiTheme="minorEastAsia" w:eastAsiaTheme="minorEastAsia"/>
          <w:szCs w:val="21"/>
        </w:rPr>
      </w:pPr>
      <w:r>
        <w:rPr>
          <w:rFonts w:hint="default" w:asciiTheme="minorEastAsia" w:hAnsiTheme="minorEastAsia" w:eastAsiaTheme="minorEastAsia"/>
          <w:szCs w:val="21"/>
          <w:lang w:val="en-US"/>
        </w:rPr>
        <w:t>4</w:t>
      </w:r>
      <w:r>
        <w:rPr>
          <w:rFonts w:hint="eastAsia" w:asciiTheme="minorEastAsia" w:hAnsiTheme="minorEastAsia" w:eastAsiaTheme="minorEastAsia"/>
          <w:szCs w:val="21"/>
        </w:rPr>
        <w:t>、同意杭交所经出租方申请之日起3个工作日内将承租方已交纳的首期租金、履约保证金全部划转至出租方指定账户。</w:t>
      </w:r>
    </w:p>
    <w:p>
      <w:pPr>
        <w:numPr>
          <w:ilvl w:val="0"/>
          <w:numId w:val="0"/>
        </w:numPr>
        <w:spacing w:line="336" w:lineRule="auto"/>
        <w:ind w:firstLine="420" w:firstLineChars="200"/>
        <w:rPr>
          <w:rFonts w:hint="eastAsia" w:asciiTheme="minorEastAsia" w:hAnsiTheme="minorEastAsia" w:eastAsiaTheme="minorEastAsia"/>
          <w:szCs w:val="21"/>
          <w:lang w:val="en-US" w:eastAsia="zh-CN"/>
        </w:rPr>
      </w:pPr>
      <w:r>
        <w:rPr>
          <w:rFonts w:hint="default" w:asciiTheme="minorEastAsia" w:hAnsiTheme="minorEastAsia" w:eastAsiaTheme="minorEastAsia"/>
          <w:szCs w:val="21"/>
          <w:lang w:val="en-US"/>
        </w:rPr>
        <w:t>5</w:t>
      </w:r>
      <w:r>
        <w:rPr>
          <w:rFonts w:hint="eastAsia" w:asciiTheme="minorEastAsia" w:hAnsiTheme="minorEastAsia" w:eastAsiaTheme="minorEastAsia"/>
          <w:szCs w:val="21"/>
        </w:rPr>
        <w:t>、若我方成为承租方，我方知悉并同意：</w:t>
      </w:r>
      <w:bookmarkStart w:id="2" w:name="OLE_LINK28"/>
      <w:r>
        <w:rPr>
          <w:rFonts w:hint="eastAsia" w:ascii="宋体" w:hAnsi="宋体"/>
          <w:szCs w:val="21"/>
          <w:highlight w:val="none"/>
          <w:lang w:val="en-US" w:eastAsia="zh-CN"/>
        </w:rPr>
        <w:t>租赁房屋不动产权证证载用途为商服用地/办公用房（其中青坤青亭商业中心3幢102室证载用途为商服用地/商业用房）</w:t>
      </w:r>
      <w:r>
        <w:rPr>
          <w:rFonts w:hint="default" w:ascii="宋体" w:hAnsi="宋体"/>
          <w:szCs w:val="21"/>
          <w:highlight w:val="none"/>
          <w:lang w:val="en-US" w:eastAsia="zh-CN"/>
        </w:rPr>
        <w:t>，</w:t>
      </w:r>
      <w:bookmarkEnd w:id="2"/>
      <w:r>
        <w:rPr>
          <w:rFonts w:hint="eastAsia" w:ascii="宋体" w:hAnsi="宋体"/>
          <w:szCs w:val="21"/>
          <w:highlight w:val="none"/>
          <w:lang w:val="en-US" w:eastAsia="zh-CN"/>
        </w:rPr>
        <w:t>意向承租方应对房屋权属性质、用途和权属资料可能对后续经营开展、获取审批许可等可能的不利影响作充分了解和预判，包括不能获得既定开设审批、无法办理租赁备案证、无法作为工商登记地址等风险在内，并明确知悉并接受房屋的规划用途、土地性质、产权情况等限制条件。承租方应当在</w:t>
      </w:r>
      <w:r>
        <w:rPr>
          <w:rFonts w:hint="eastAsia" w:ascii="宋体" w:hAnsi="宋体"/>
          <w:szCs w:val="21"/>
          <w:highlight w:val="none"/>
        </w:rPr>
        <w:t>开业前取得营业执照及相关的各类经营许可证，由于承租方无证无照经营行为造成</w:t>
      </w:r>
      <w:r>
        <w:rPr>
          <w:rFonts w:hint="eastAsia" w:ascii="宋体" w:hAnsi="宋体"/>
          <w:szCs w:val="21"/>
          <w:highlight w:val="none"/>
          <w:lang w:val="en-US" w:eastAsia="zh-CN"/>
        </w:rPr>
        <w:t>出租方</w:t>
      </w:r>
      <w:r>
        <w:rPr>
          <w:rFonts w:hint="eastAsia" w:ascii="宋体" w:hAnsi="宋体"/>
          <w:szCs w:val="21"/>
          <w:highlight w:val="none"/>
        </w:rPr>
        <w:t>或第三方损失的，承租方应全额赔偿。</w:t>
      </w:r>
      <w:r>
        <w:rPr>
          <w:rFonts w:hint="eastAsia" w:ascii="宋体" w:hAnsi="宋体"/>
          <w:szCs w:val="21"/>
          <w:highlight w:val="none"/>
          <w:lang w:val="en-US" w:eastAsia="zh-CN"/>
        </w:rPr>
        <w:t>出租方</w:t>
      </w:r>
      <w:r>
        <w:rPr>
          <w:rFonts w:hint="eastAsia" w:ascii="宋体" w:hAnsi="宋体"/>
          <w:szCs w:val="21"/>
          <w:highlight w:val="none"/>
        </w:rPr>
        <w:t>可根据实际情况提供必要的协助，但所需费用均由承租方承担。若由于</w:t>
      </w:r>
      <w:r>
        <w:rPr>
          <w:rFonts w:hint="eastAsia" w:ascii="宋体" w:hAnsi="宋体"/>
          <w:szCs w:val="21"/>
          <w:highlight w:val="none"/>
          <w:lang w:val="en-US" w:eastAsia="zh-CN"/>
        </w:rPr>
        <w:t>出租方</w:t>
      </w:r>
      <w:r>
        <w:rPr>
          <w:rFonts w:hint="eastAsia" w:ascii="宋体" w:hAnsi="宋体"/>
          <w:szCs w:val="21"/>
          <w:highlight w:val="none"/>
        </w:rPr>
        <w:t>提供的资料和租赁房屋现状原因导致承租方不能通过相关登记、审批等手续的，</w:t>
      </w:r>
      <w:r>
        <w:rPr>
          <w:rFonts w:hint="eastAsia" w:ascii="宋体" w:hAnsi="宋体"/>
          <w:szCs w:val="21"/>
          <w:highlight w:val="none"/>
          <w:lang w:val="en-US" w:eastAsia="zh-CN"/>
        </w:rPr>
        <w:t>出租方</w:t>
      </w:r>
      <w:r>
        <w:rPr>
          <w:rFonts w:hint="eastAsia" w:ascii="宋体" w:hAnsi="宋体"/>
          <w:szCs w:val="21"/>
          <w:highlight w:val="none"/>
        </w:rPr>
        <w:t>不承担任何责任。</w:t>
      </w:r>
    </w:p>
    <w:p>
      <w:pPr>
        <w:numPr>
          <w:ilvl w:val="0"/>
          <w:numId w:val="0"/>
        </w:numPr>
        <w:spacing w:line="336" w:lineRule="auto"/>
        <w:ind w:firstLine="420" w:firstLineChars="200"/>
        <w:rPr>
          <w:rFonts w:hint="eastAsia" w:asciiTheme="minorEastAsia" w:hAnsiTheme="minorEastAsia" w:eastAsiaTheme="minorEastAsia"/>
          <w:szCs w:val="21"/>
        </w:rPr>
      </w:pPr>
      <w:r>
        <w:rPr>
          <w:rFonts w:hint="default" w:asciiTheme="minorEastAsia" w:hAnsiTheme="minorEastAsia" w:eastAsiaTheme="minorEastAsia"/>
          <w:szCs w:val="21"/>
          <w:lang w:val="en-US"/>
        </w:rPr>
        <w:t>6</w:t>
      </w:r>
      <w:r>
        <w:rPr>
          <w:rFonts w:hint="eastAsia" w:asciiTheme="minorEastAsia" w:hAnsiTheme="minorEastAsia" w:eastAsiaTheme="minorEastAsia"/>
          <w:szCs w:val="21"/>
        </w:rPr>
        <w:t>、我方知悉并同意：</w:t>
      </w:r>
      <w:bookmarkStart w:id="3" w:name="OLE_LINK57"/>
      <w:r>
        <w:rPr>
          <w:rFonts w:hint="eastAsia" w:asciiTheme="minorEastAsia" w:hAnsiTheme="minorEastAsia" w:eastAsiaTheme="minorEastAsia"/>
          <w:szCs w:val="21"/>
        </w:rPr>
        <w:t>承租方应按照</w:t>
      </w:r>
      <w:r>
        <w:rPr>
          <w:rFonts w:hint="eastAsia" w:asciiTheme="minorEastAsia" w:hAnsiTheme="minorEastAsia" w:eastAsiaTheme="minorEastAsia"/>
          <w:szCs w:val="21"/>
          <w:lang w:val="en-US" w:eastAsia="zh-CN"/>
        </w:rPr>
        <w:t>本标的</w:t>
      </w:r>
      <w:r>
        <w:rPr>
          <w:rFonts w:hint="eastAsia" w:asciiTheme="minorEastAsia" w:hAnsiTheme="minorEastAsia" w:eastAsiaTheme="minorEastAsia"/>
          <w:szCs w:val="21"/>
        </w:rPr>
        <w:t>用途的约定，自行取得合法的营业执照等相关证件，并保证所</w:t>
      </w:r>
      <w:bookmarkEnd w:id="3"/>
      <w:r>
        <w:rPr>
          <w:rFonts w:hint="eastAsia" w:asciiTheme="minorEastAsia" w:hAnsiTheme="minorEastAsia" w:eastAsiaTheme="minorEastAsia"/>
          <w:szCs w:val="21"/>
        </w:rPr>
        <w:t>租赁的房屋仅作为其从事营业执照范围内经营活动的使用。出租方对于租赁业态和经营要求仅系按照整体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w:t>
      </w:r>
    </w:p>
    <w:p>
      <w:pPr>
        <w:numPr>
          <w:ilvl w:val="0"/>
          <w:numId w:val="0"/>
        </w:numPr>
        <w:spacing w:line="336" w:lineRule="auto"/>
        <w:ind w:firstLine="420" w:firstLineChars="200"/>
        <w:rPr>
          <w:rFonts w:hint="eastAsia" w:asciiTheme="minorEastAsia" w:hAnsiTheme="minorEastAsia" w:eastAsiaTheme="minorEastAsia"/>
          <w:szCs w:val="21"/>
          <w:lang w:val="en-US" w:eastAsia="zh-CN"/>
        </w:rPr>
      </w:pPr>
      <w:r>
        <w:rPr>
          <w:rFonts w:hint="default" w:asciiTheme="minorEastAsia" w:hAnsiTheme="minorEastAsia" w:eastAsiaTheme="minorEastAsia"/>
          <w:szCs w:val="21"/>
          <w:lang w:val="en-US"/>
        </w:rPr>
        <w:t>7</w:t>
      </w: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若我方成为承租方，我方知悉并同意：</w:t>
      </w:r>
      <w:r>
        <w:rPr>
          <w:rFonts w:hint="eastAsia" w:ascii="宋体" w:hAnsi="宋体"/>
          <w:szCs w:val="21"/>
          <w:highlight w:val="none"/>
        </w:rPr>
        <w:t>承租方在租赁过程中，如果要改变房屋设施中的系统、消防（包括水泵）、排水排污监控等设施设备的，包括对该等设施设备进行更新、改造的，必须向</w:t>
      </w:r>
      <w:r>
        <w:rPr>
          <w:rFonts w:hint="eastAsia" w:ascii="宋体" w:hAnsi="宋体"/>
          <w:szCs w:val="21"/>
          <w:highlight w:val="none"/>
          <w:lang w:val="en-US" w:eastAsia="zh-CN"/>
        </w:rPr>
        <w:t>出租方</w:t>
      </w:r>
      <w:r>
        <w:rPr>
          <w:rFonts w:hint="eastAsia" w:ascii="宋体" w:hAnsi="宋体"/>
          <w:szCs w:val="21"/>
          <w:highlight w:val="none"/>
        </w:rPr>
        <w:t>提供政府相关职能部门审核意见资料。上述改变调整及房屋装修完工后，应通过消防部门及其他相关职能部门验收合格并将审批同意的书面意见批复报备出租方后，方可投入使用。</w:t>
      </w:r>
    </w:p>
    <w:p>
      <w:pPr>
        <w:numPr>
          <w:ilvl w:val="0"/>
          <w:numId w:val="2"/>
        </w:num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若我方成为承租方，我方知悉并同意：承租方擅自改变房屋结构或在租用时因使用不当造成房屋或设施损坏的，承租方应立即负责修复并承担由此产生的一切经济损失。</w:t>
      </w:r>
    </w:p>
    <w:p>
      <w:pPr>
        <w:numPr>
          <w:ilvl w:val="0"/>
          <w:numId w:val="2"/>
        </w:num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若我方成为承租方，我方知悉并同意：</w:t>
      </w:r>
      <w:r>
        <w:rPr>
          <w:rFonts w:hint="eastAsia" w:asciiTheme="minorEastAsia" w:hAnsiTheme="minorEastAsia" w:eastAsiaTheme="minorEastAsia"/>
          <w:szCs w:val="21"/>
          <w:lang w:eastAsia="zh-CN"/>
        </w:rPr>
        <w:t>承租方在租赁过程中，应严格遵守杭州市关于商贸用房出租安全的相关规定。严格进行消防安全管理，并自觉接受出租方及相关主管部门的监督和管理。如因违反消防管理及治安管理的相关法规而被有关部门处罚或不慎发生消防及治安安全事故所导致的一切后果，均由承租方承担，出租方有权因此收回该房屋，且不承担责任。</w:t>
      </w:r>
    </w:p>
    <w:p>
      <w:pPr>
        <w:numPr>
          <w:ilvl w:val="0"/>
          <w:numId w:val="2"/>
        </w:num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若我方成为承租方，我方知悉并同意：如该批房屋及所属土地因社会公共利益或城市建设需要被政府依法征收的，承租方须在</w:t>
      </w:r>
      <w:r>
        <w:rPr>
          <w:rFonts w:hint="eastAsia" w:asciiTheme="minorEastAsia" w:hAnsiTheme="minorEastAsia" w:eastAsiaTheme="minorEastAsia"/>
          <w:szCs w:val="21"/>
          <w:lang w:eastAsia="zh-CN"/>
        </w:rPr>
        <w:t>出租方</w:t>
      </w:r>
      <w:r>
        <w:rPr>
          <w:rFonts w:hint="eastAsia" w:asciiTheme="minorEastAsia" w:hAnsiTheme="minorEastAsia" w:eastAsiaTheme="minorEastAsia"/>
          <w:szCs w:val="21"/>
        </w:rPr>
        <w:t>发出通知之日起一个月内无条件退还该房屋，租金按实结算。</w:t>
      </w:r>
    </w:p>
    <w:p>
      <w:pPr>
        <w:numPr>
          <w:ilvl w:val="0"/>
          <w:numId w:val="2"/>
        </w:num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若我方成为承租方，我方知悉并同意：</w:t>
      </w:r>
      <w:r>
        <w:rPr>
          <w:rFonts w:hint="eastAsia" w:asciiTheme="minorEastAsia" w:hAnsiTheme="minorEastAsia" w:eastAsiaTheme="minorEastAsia"/>
          <w:szCs w:val="21"/>
          <w:lang w:val="en-US" w:eastAsia="zh-CN"/>
        </w:rPr>
        <w:t>承租方承租后，</w:t>
      </w:r>
      <w:bookmarkStart w:id="4" w:name="OLE_LINK22"/>
      <w:r>
        <w:rPr>
          <w:rFonts w:hint="eastAsia" w:asciiTheme="minorEastAsia" w:hAnsiTheme="minorEastAsia" w:eastAsiaTheme="minorEastAsia"/>
          <w:szCs w:val="21"/>
          <w:lang w:val="en-US" w:eastAsia="zh-CN"/>
        </w:rPr>
        <w:t>在租赁期间若对</w:t>
      </w:r>
      <w:r>
        <w:rPr>
          <w:rFonts w:hint="eastAsia" w:asciiTheme="minorEastAsia" w:hAnsiTheme="minorEastAsia" w:eastAsiaTheme="minorEastAsia"/>
          <w:szCs w:val="21"/>
        </w:rPr>
        <w:t>标的</w:t>
      </w:r>
      <w:r>
        <w:rPr>
          <w:rFonts w:hint="eastAsia" w:asciiTheme="minorEastAsia" w:hAnsiTheme="minorEastAsia" w:eastAsiaTheme="minorEastAsia"/>
          <w:szCs w:val="21"/>
          <w:lang w:val="en-US" w:eastAsia="zh-CN"/>
        </w:rPr>
        <w:t>房屋</w:t>
      </w:r>
      <w:r>
        <w:rPr>
          <w:rFonts w:hint="eastAsia" w:asciiTheme="minorEastAsia" w:hAnsiTheme="minorEastAsia" w:eastAsiaTheme="minorEastAsia"/>
          <w:szCs w:val="21"/>
        </w:rPr>
        <w:t>存在与</w:t>
      </w:r>
      <w:r>
        <w:rPr>
          <w:rFonts w:hint="eastAsia" w:asciiTheme="minorEastAsia" w:hAnsiTheme="minorEastAsia" w:eastAsiaTheme="minorEastAsia"/>
          <w:szCs w:val="21"/>
          <w:lang w:val="en-US" w:eastAsia="zh-CN"/>
        </w:rPr>
        <w:t>交付现状</w:t>
      </w:r>
      <w:r>
        <w:rPr>
          <w:rFonts w:hint="eastAsia" w:asciiTheme="minorEastAsia" w:hAnsiTheme="minorEastAsia" w:eastAsiaTheme="minorEastAsia"/>
          <w:szCs w:val="21"/>
        </w:rPr>
        <w:t>不符的装修，</w:t>
      </w:r>
      <w:r>
        <w:rPr>
          <w:rFonts w:hint="eastAsia" w:asciiTheme="minorEastAsia" w:hAnsiTheme="minorEastAsia" w:eastAsiaTheme="minorEastAsia"/>
          <w:szCs w:val="21"/>
          <w:lang w:val="en-US" w:eastAsia="zh-CN"/>
        </w:rPr>
        <w:t>在</w:t>
      </w:r>
      <w:r>
        <w:rPr>
          <w:rFonts w:hint="eastAsia" w:asciiTheme="minorEastAsia" w:hAnsiTheme="minorEastAsia" w:eastAsiaTheme="minorEastAsia"/>
          <w:szCs w:val="21"/>
        </w:rPr>
        <w:t>退租后由本次承租方负责恢复，并以</w:t>
      </w:r>
      <w:r>
        <w:rPr>
          <w:rFonts w:hint="eastAsia" w:asciiTheme="minorEastAsia" w:hAnsiTheme="minorEastAsia" w:eastAsiaTheme="minorEastAsia"/>
          <w:szCs w:val="21"/>
          <w:lang w:val="en-US" w:eastAsia="zh-CN"/>
        </w:rPr>
        <w:t>出租方</w:t>
      </w:r>
      <w:r>
        <w:rPr>
          <w:rFonts w:hint="eastAsia" w:asciiTheme="minorEastAsia" w:hAnsiTheme="minorEastAsia" w:eastAsiaTheme="minorEastAsia"/>
          <w:szCs w:val="21"/>
        </w:rPr>
        <w:t>认可的状态返</w:t>
      </w:r>
      <w:bookmarkEnd w:id="4"/>
      <w:r>
        <w:rPr>
          <w:rFonts w:hint="eastAsia" w:asciiTheme="minorEastAsia" w:hAnsiTheme="minorEastAsia" w:eastAsiaTheme="minorEastAsia"/>
          <w:szCs w:val="21"/>
        </w:rPr>
        <w:t>还。</w:t>
      </w:r>
    </w:p>
    <w:p>
      <w:pPr>
        <w:numPr>
          <w:ilvl w:val="0"/>
          <w:numId w:val="2"/>
        </w:num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若我方成为承租方，我方知悉并同意：未经</w:t>
      </w:r>
      <w:r>
        <w:rPr>
          <w:rFonts w:hint="eastAsia" w:asciiTheme="minorEastAsia" w:hAnsiTheme="minorEastAsia" w:eastAsiaTheme="minorEastAsia"/>
          <w:szCs w:val="21"/>
          <w:lang w:eastAsia="zh-CN"/>
        </w:rPr>
        <w:t>出租方</w:t>
      </w:r>
      <w:r>
        <w:rPr>
          <w:rFonts w:hint="eastAsia" w:asciiTheme="minorEastAsia" w:hAnsiTheme="minorEastAsia" w:eastAsiaTheme="minorEastAsia"/>
          <w:szCs w:val="21"/>
        </w:rPr>
        <w:t>书面同意，承租方不得擅自将房屋抵押、转租、转让、转借他人或调换使用，否则</w:t>
      </w:r>
      <w:r>
        <w:rPr>
          <w:rFonts w:hint="eastAsia" w:asciiTheme="minorEastAsia" w:hAnsiTheme="minorEastAsia" w:eastAsiaTheme="minorEastAsia"/>
          <w:szCs w:val="21"/>
          <w:lang w:val="en-US" w:eastAsia="zh-CN"/>
        </w:rPr>
        <w:t>出租方</w:t>
      </w:r>
      <w:r>
        <w:rPr>
          <w:rFonts w:hint="eastAsia" w:asciiTheme="minorEastAsia" w:hAnsiTheme="minorEastAsia" w:eastAsiaTheme="minorEastAsia"/>
          <w:szCs w:val="21"/>
        </w:rPr>
        <w:t>有权立即终止合同并收回房屋且没收履约保证金，由此造成的损失均由承租方自负。</w:t>
      </w:r>
    </w:p>
    <w:p>
      <w:pPr>
        <w:pStyle w:val="2"/>
        <w:numPr>
          <w:ilvl w:val="0"/>
          <w:numId w:val="2"/>
        </w:numPr>
        <w:ind w:left="0" w:leftChars="0"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若我方成为承租方，我方知悉并同意：若承租方有装修需求的，在进场装修前根据租赁面积需缴纳1-3万元不等装修保证金（具体如下表）。装修保证金须在进场装修前由承租方一次性支付给出租方。装修保证金不能冲抵租金、综合管理服务费，仅作为约束承租方进行规范装修，不对房屋主体结构及相关公共部分进行违规拆改。本招租标的的装修设计方案必须经出租方同意后方可施工，经消防等相关部门验收合格提供书面批复意见并经出租方查验无违规情况后，出租方将装修保证金在一个月内无息归还给承租方。</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65" w:type="dxa"/>
            <w:noWrap w:val="0"/>
            <w:vAlign w:val="top"/>
          </w:tcPr>
          <w:p>
            <w:pPr>
              <w:pStyle w:val="2"/>
              <w:numPr>
                <w:numId w:val="0"/>
              </w:numPr>
              <w:ind w:left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租赁面积（㎡）</w:t>
            </w:r>
          </w:p>
        </w:tc>
        <w:tc>
          <w:tcPr>
            <w:tcW w:w="2265" w:type="dxa"/>
            <w:noWrap w:val="0"/>
            <w:vAlign w:val="top"/>
          </w:tcPr>
          <w:p>
            <w:pPr>
              <w:pStyle w:val="2"/>
              <w:numPr>
                <w:numId w:val="0"/>
              </w:numPr>
              <w:ind w:left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装修保证金（万）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5" w:type="dxa"/>
            <w:noWrap w:val="0"/>
            <w:vAlign w:val="top"/>
          </w:tcPr>
          <w:p>
            <w:pPr>
              <w:pStyle w:val="2"/>
              <w:numPr>
                <w:numId w:val="0"/>
              </w:numPr>
              <w:ind w:left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0-50</w:t>
            </w:r>
          </w:p>
        </w:tc>
        <w:tc>
          <w:tcPr>
            <w:tcW w:w="2265" w:type="dxa"/>
            <w:noWrap w:val="0"/>
            <w:vAlign w:val="top"/>
          </w:tcPr>
          <w:p>
            <w:pPr>
              <w:pStyle w:val="2"/>
              <w:numPr>
                <w:numId w:val="0"/>
              </w:numPr>
              <w:ind w:leftChars="200"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5" w:type="dxa"/>
            <w:noWrap w:val="0"/>
            <w:vAlign w:val="top"/>
          </w:tcPr>
          <w:p>
            <w:pPr>
              <w:pStyle w:val="2"/>
              <w:numPr>
                <w:numId w:val="0"/>
              </w:numPr>
              <w:ind w:left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50-100</w:t>
            </w:r>
          </w:p>
        </w:tc>
        <w:tc>
          <w:tcPr>
            <w:tcW w:w="2265" w:type="dxa"/>
            <w:noWrap w:val="0"/>
            <w:vAlign w:val="top"/>
          </w:tcPr>
          <w:p>
            <w:pPr>
              <w:pStyle w:val="2"/>
              <w:numPr>
                <w:numId w:val="0"/>
              </w:numPr>
              <w:ind w:leftChars="200"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5" w:type="dxa"/>
            <w:noWrap w:val="0"/>
            <w:vAlign w:val="top"/>
          </w:tcPr>
          <w:p>
            <w:pPr>
              <w:pStyle w:val="2"/>
              <w:numPr>
                <w:numId w:val="0"/>
              </w:numPr>
              <w:ind w:left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＞100</w:t>
            </w:r>
          </w:p>
        </w:tc>
        <w:tc>
          <w:tcPr>
            <w:tcW w:w="2265" w:type="dxa"/>
            <w:noWrap w:val="0"/>
            <w:vAlign w:val="top"/>
          </w:tcPr>
          <w:p>
            <w:pPr>
              <w:pStyle w:val="2"/>
              <w:numPr>
                <w:numId w:val="0"/>
              </w:numPr>
              <w:ind w:leftChars="200"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w:t>
            </w:r>
          </w:p>
        </w:tc>
      </w:tr>
    </w:tbl>
    <w:p>
      <w:pPr>
        <w:pStyle w:val="2"/>
        <w:numPr>
          <w:ilvl w:val="0"/>
          <w:numId w:val="2"/>
        </w:numPr>
        <w:ind w:left="0" w:leftChars="0"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若我方成为承租方，我方知悉并同意：除青坤青亭商业中心3幢102室物业费为6.1元/㎡/月（含能耗费0.6元/㎡/月），其余房屋均为5.6元/㎡/月（含能耗费0.6元/㎡/月），车位管理费80元/个/月，实际按项目物业公司收费标准执行，物业费由承租方向出租方缴纳，承租方向出租方支付租金的同时支付当期的物业费。</w:t>
      </w:r>
    </w:p>
    <w:p>
      <w:pPr>
        <w:numPr>
          <w:ilvl w:val="0"/>
          <w:numId w:val="0"/>
        </w:num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15、</w:t>
      </w:r>
      <w:r>
        <w:rPr>
          <w:rFonts w:hint="eastAsia" w:asciiTheme="minorEastAsia" w:hAnsiTheme="minorEastAsia" w:eastAsiaTheme="minorEastAsia"/>
          <w:szCs w:val="21"/>
        </w:rPr>
        <w:t>若我方成为承租方，我方知悉并同意：</w:t>
      </w:r>
      <w:r>
        <w:rPr>
          <w:rFonts w:hint="eastAsia" w:ascii="宋体" w:hAnsi="宋体"/>
          <w:szCs w:val="21"/>
        </w:rPr>
        <w:t>本次交易出租方和承租方相关权利义务及房屋交付以出租方提供的《房屋租赁合同》（样本）为准</w:t>
      </w:r>
      <w:r>
        <w:rPr>
          <w:rFonts w:hint="eastAsia" w:asciiTheme="minorEastAsia" w:hAnsiTheme="minorEastAsia" w:eastAsiaTheme="minorEastAsia"/>
          <w:szCs w:val="21"/>
        </w:rPr>
        <w:t>。</w:t>
      </w:r>
    </w:p>
    <w:p>
      <w:pPr>
        <w:spacing w:line="336" w:lineRule="auto"/>
        <w:ind w:firstLine="420" w:firstLineChars="200"/>
        <w:rPr>
          <w:rFonts w:hint="eastAsia" w:asciiTheme="minorEastAsia" w:hAnsiTheme="minorEastAsia" w:eastAsiaTheme="minorEastAsia"/>
          <w:szCs w:val="21"/>
        </w:rPr>
      </w:pPr>
      <w:r>
        <w:rPr>
          <w:rFonts w:hint="default" w:asciiTheme="minorEastAsia" w:hAnsiTheme="minorEastAsia" w:eastAsiaTheme="minorEastAsia"/>
          <w:szCs w:val="21"/>
          <w:lang w:val="en-US"/>
        </w:rPr>
        <w:t>1</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w:t>
      </w:r>
      <w:r>
        <w:rPr>
          <w:rFonts w:hint="eastAsia" w:ascii="宋体" w:hAnsi="宋体"/>
          <w:szCs w:val="21"/>
          <w:highlight w:val="none"/>
          <w:lang w:val="en-US" w:eastAsia="zh-CN"/>
        </w:rPr>
        <w:t>本次项目成交的，</w:t>
      </w:r>
      <w:bookmarkStart w:id="5" w:name="_GoBack"/>
      <w:bookmarkEnd w:id="5"/>
      <w:r>
        <w:rPr>
          <w:rFonts w:hint="eastAsia" w:ascii="宋体" w:hAnsi="宋体"/>
          <w:szCs w:val="21"/>
        </w:rPr>
        <w:t>承租方须支付按首年租金一个月计的交易服务费</w:t>
      </w:r>
      <w:r>
        <w:rPr>
          <w:rFonts w:hint="eastAsia" w:asciiTheme="minorEastAsia" w:hAnsiTheme="minorEastAsia" w:eastAsiaTheme="minorEastAsia"/>
          <w:szCs w:val="21"/>
        </w:rPr>
        <w:t>。</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若非出租方原因，出现以下任一情况时，意向承租方交纳的保证金不予退还，先用于补偿杭交所及经纪会员的各项服务费，剩余部分作为对出租方的经济补偿金，交易保证金不足以补偿的，相关方有权按照实际损失继续追诉：</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（1）意向承租方提交承租申请并交纳交易保证金后单方撤回承租申请的；</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ascii="宋体" w:hAnsi="宋体"/>
          <w:szCs w:val="21"/>
        </w:rPr>
        <w:t>房屋租赁合同</w:t>
      </w:r>
      <w:r>
        <w:rPr>
          <w:rFonts w:hint="eastAsia" w:asciiTheme="minorEastAsia" w:hAnsiTheme="minorEastAsia" w:eastAsiaTheme="minorEastAsia"/>
          <w:szCs w:val="21"/>
        </w:rPr>
        <w:t>》的或未按约定支付首期租金、交易服务费、履约保证金的；</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rPr>
          <w:rFonts w:asciiTheme="minorEastAsia" w:hAnsiTheme="minorEastAsia" w:eastAsiaTheme="minorEastAsia"/>
          <w:szCs w:val="21"/>
        </w:rPr>
      </w:pP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D4C0D"/>
    <w:multiLevelType w:val="singleLevel"/>
    <w:tmpl w:val="872D4C0D"/>
    <w:lvl w:ilvl="0" w:tentative="0">
      <w:start w:val="1"/>
      <w:numFmt w:val="decimal"/>
      <w:suff w:val="nothing"/>
      <w:lvlText w:val="%1、"/>
      <w:lvlJc w:val="left"/>
    </w:lvl>
  </w:abstractNum>
  <w:abstractNum w:abstractNumId="1">
    <w:nsid w:val="AE983AEC"/>
    <w:multiLevelType w:val="singleLevel"/>
    <w:tmpl w:val="AE983AEC"/>
    <w:lvl w:ilvl="0" w:tentative="0">
      <w:start w:val="8"/>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0340"/>
    <w:rsid w:val="000451DE"/>
    <w:rsid w:val="0005613E"/>
    <w:rsid w:val="00090BC8"/>
    <w:rsid w:val="00092F86"/>
    <w:rsid w:val="00096355"/>
    <w:rsid w:val="000B2C55"/>
    <w:rsid w:val="000E77EC"/>
    <w:rsid w:val="00135261"/>
    <w:rsid w:val="00143D8A"/>
    <w:rsid w:val="001E7987"/>
    <w:rsid w:val="0020310B"/>
    <w:rsid w:val="00215ECB"/>
    <w:rsid w:val="002278BB"/>
    <w:rsid w:val="002526A0"/>
    <w:rsid w:val="00255411"/>
    <w:rsid w:val="002619EA"/>
    <w:rsid w:val="00272EE2"/>
    <w:rsid w:val="00274544"/>
    <w:rsid w:val="003165D3"/>
    <w:rsid w:val="003229C2"/>
    <w:rsid w:val="00324E9E"/>
    <w:rsid w:val="0035259E"/>
    <w:rsid w:val="00356B1E"/>
    <w:rsid w:val="003A2F6F"/>
    <w:rsid w:val="003E079C"/>
    <w:rsid w:val="00413930"/>
    <w:rsid w:val="00430675"/>
    <w:rsid w:val="00455D9B"/>
    <w:rsid w:val="00466542"/>
    <w:rsid w:val="004701CE"/>
    <w:rsid w:val="004876EE"/>
    <w:rsid w:val="0049186F"/>
    <w:rsid w:val="004C246D"/>
    <w:rsid w:val="004D1B74"/>
    <w:rsid w:val="004E1479"/>
    <w:rsid w:val="004E3107"/>
    <w:rsid w:val="004E38FA"/>
    <w:rsid w:val="004F3BEF"/>
    <w:rsid w:val="00503879"/>
    <w:rsid w:val="00521613"/>
    <w:rsid w:val="005367F3"/>
    <w:rsid w:val="0055051A"/>
    <w:rsid w:val="0056145E"/>
    <w:rsid w:val="00564A79"/>
    <w:rsid w:val="005767C5"/>
    <w:rsid w:val="005A465A"/>
    <w:rsid w:val="005B08F5"/>
    <w:rsid w:val="005E6A17"/>
    <w:rsid w:val="005F613A"/>
    <w:rsid w:val="006107A8"/>
    <w:rsid w:val="00614B68"/>
    <w:rsid w:val="00627BE3"/>
    <w:rsid w:val="00641516"/>
    <w:rsid w:val="006507CA"/>
    <w:rsid w:val="00653B08"/>
    <w:rsid w:val="006601AB"/>
    <w:rsid w:val="00662215"/>
    <w:rsid w:val="006733A2"/>
    <w:rsid w:val="006A46BE"/>
    <w:rsid w:val="006B5616"/>
    <w:rsid w:val="006B740B"/>
    <w:rsid w:val="006E3728"/>
    <w:rsid w:val="00735BDE"/>
    <w:rsid w:val="00736371"/>
    <w:rsid w:val="00737286"/>
    <w:rsid w:val="00773F46"/>
    <w:rsid w:val="007847DD"/>
    <w:rsid w:val="00790D21"/>
    <w:rsid w:val="007E4EDD"/>
    <w:rsid w:val="0084282E"/>
    <w:rsid w:val="0087000D"/>
    <w:rsid w:val="00884F8A"/>
    <w:rsid w:val="00892386"/>
    <w:rsid w:val="00896156"/>
    <w:rsid w:val="008A6D8A"/>
    <w:rsid w:val="008D72E8"/>
    <w:rsid w:val="00906FAC"/>
    <w:rsid w:val="0093437E"/>
    <w:rsid w:val="00934A3A"/>
    <w:rsid w:val="0096235F"/>
    <w:rsid w:val="009733B3"/>
    <w:rsid w:val="009844CE"/>
    <w:rsid w:val="009B0F56"/>
    <w:rsid w:val="009B10A4"/>
    <w:rsid w:val="009F646A"/>
    <w:rsid w:val="00A11F15"/>
    <w:rsid w:val="00A165E7"/>
    <w:rsid w:val="00A24DD0"/>
    <w:rsid w:val="00A31106"/>
    <w:rsid w:val="00A53E81"/>
    <w:rsid w:val="00A96775"/>
    <w:rsid w:val="00AA4243"/>
    <w:rsid w:val="00AC5AAD"/>
    <w:rsid w:val="00AE275A"/>
    <w:rsid w:val="00AF7180"/>
    <w:rsid w:val="00B15A11"/>
    <w:rsid w:val="00B170BB"/>
    <w:rsid w:val="00B35714"/>
    <w:rsid w:val="00B36433"/>
    <w:rsid w:val="00B81419"/>
    <w:rsid w:val="00B91182"/>
    <w:rsid w:val="00B923AA"/>
    <w:rsid w:val="00BC1FC6"/>
    <w:rsid w:val="00BC2645"/>
    <w:rsid w:val="00BD265F"/>
    <w:rsid w:val="00BD2687"/>
    <w:rsid w:val="00BD6679"/>
    <w:rsid w:val="00C02F3D"/>
    <w:rsid w:val="00C06575"/>
    <w:rsid w:val="00C07B7D"/>
    <w:rsid w:val="00C2125E"/>
    <w:rsid w:val="00C300A5"/>
    <w:rsid w:val="00C333D9"/>
    <w:rsid w:val="00C80243"/>
    <w:rsid w:val="00C85BC7"/>
    <w:rsid w:val="00C85FB6"/>
    <w:rsid w:val="00CB3B98"/>
    <w:rsid w:val="00CB5B8C"/>
    <w:rsid w:val="00CC7C6B"/>
    <w:rsid w:val="00CF638F"/>
    <w:rsid w:val="00D56D57"/>
    <w:rsid w:val="00D803DC"/>
    <w:rsid w:val="00D923A3"/>
    <w:rsid w:val="00DA3FB7"/>
    <w:rsid w:val="00DA41FC"/>
    <w:rsid w:val="00DA5D16"/>
    <w:rsid w:val="00DB7C36"/>
    <w:rsid w:val="00DC5B10"/>
    <w:rsid w:val="00E00E55"/>
    <w:rsid w:val="00E37E55"/>
    <w:rsid w:val="00E514FF"/>
    <w:rsid w:val="00E60BD5"/>
    <w:rsid w:val="00E86355"/>
    <w:rsid w:val="00EB2A88"/>
    <w:rsid w:val="00EB68B1"/>
    <w:rsid w:val="00EC6A03"/>
    <w:rsid w:val="00EC7352"/>
    <w:rsid w:val="00ED4E9F"/>
    <w:rsid w:val="00EF62AF"/>
    <w:rsid w:val="00F06BEC"/>
    <w:rsid w:val="00F34AFD"/>
    <w:rsid w:val="00F47654"/>
    <w:rsid w:val="00F6123F"/>
    <w:rsid w:val="00F63294"/>
    <w:rsid w:val="00F66538"/>
    <w:rsid w:val="00F73915"/>
    <w:rsid w:val="00F9525F"/>
    <w:rsid w:val="00F9594B"/>
    <w:rsid w:val="00FA0343"/>
    <w:rsid w:val="00FA6AB7"/>
    <w:rsid w:val="00FC6CEC"/>
    <w:rsid w:val="00FD24CB"/>
    <w:rsid w:val="00FF2FAD"/>
    <w:rsid w:val="00FF32D4"/>
    <w:rsid w:val="02356E8E"/>
    <w:rsid w:val="04B22677"/>
    <w:rsid w:val="04F90605"/>
    <w:rsid w:val="061C73F5"/>
    <w:rsid w:val="07D87335"/>
    <w:rsid w:val="08C25349"/>
    <w:rsid w:val="0A25564B"/>
    <w:rsid w:val="0A386805"/>
    <w:rsid w:val="0ED418D7"/>
    <w:rsid w:val="0FEC78F6"/>
    <w:rsid w:val="121C51F9"/>
    <w:rsid w:val="13252849"/>
    <w:rsid w:val="15DD06F6"/>
    <w:rsid w:val="16AA2DEF"/>
    <w:rsid w:val="16BD1BA6"/>
    <w:rsid w:val="17493BB4"/>
    <w:rsid w:val="174D738C"/>
    <w:rsid w:val="19B122C7"/>
    <w:rsid w:val="19B324A8"/>
    <w:rsid w:val="19CF393C"/>
    <w:rsid w:val="1B21560C"/>
    <w:rsid w:val="1E14735D"/>
    <w:rsid w:val="1EFA488D"/>
    <w:rsid w:val="1FE75D9F"/>
    <w:rsid w:val="22545F55"/>
    <w:rsid w:val="22EC5858"/>
    <w:rsid w:val="25526291"/>
    <w:rsid w:val="25B34C3E"/>
    <w:rsid w:val="2731534B"/>
    <w:rsid w:val="276A0A68"/>
    <w:rsid w:val="279515A0"/>
    <w:rsid w:val="280700AA"/>
    <w:rsid w:val="28CD421D"/>
    <w:rsid w:val="29064147"/>
    <w:rsid w:val="29BB143F"/>
    <w:rsid w:val="2B224A23"/>
    <w:rsid w:val="2BA715B1"/>
    <w:rsid w:val="2BF4151C"/>
    <w:rsid w:val="2C5D5E87"/>
    <w:rsid w:val="2CB70835"/>
    <w:rsid w:val="2DE64B98"/>
    <w:rsid w:val="2E6953D9"/>
    <w:rsid w:val="301B1DCA"/>
    <w:rsid w:val="32EB15DF"/>
    <w:rsid w:val="33CF09B6"/>
    <w:rsid w:val="34270031"/>
    <w:rsid w:val="3543266F"/>
    <w:rsid w:val="354400F1"/>
    <w:rsid w:val="38EE0D9B"/>
    <w:rsid w:val="3AD83A40"/>
    <w:rsid w:val="3B997F04"/>
    <w:rsid w:val="3C2C4C6F"/>
    <w:rsid w:val="3C940D63"/>
    <w:rsid w:val="3D4E2474"/>
    <w:rsid w:val="3EBF19DA"/>
    <w:rsid w:val="40B10AB3"/>
    <w:rsid w:val="433221D6"/>
    <w:rsid w:val="44EB1EAB"/>
    <w:rsid w:val="45F94112"/>
    <w:rsid w:val="47F36A01"/>
    <w:rsid w:val="494F753A"/>
    <w:rsid w:val="4AFF3DA7"/>
    <w:rsid w:val="4B1A378B"/>
    <w:rsid w:val="4B995D82"/>
    <w:rsid w:val="4CAE3288"/>
    <w:rsid w:val="4CC66179"/>
    <w:rsid w:val="4DCE0E61"/>
    <w:rsid w:val="4E0013D2"/>
    <w:rsid w:val="4E004CFE"/>
    <w:rsid w:val="4E936390"/>
    <w:rsid w:val="4F3565BB"/>
    <w:rsid w:val="51317EBA"/>
    <w:rsid w:val="51A80460"/>
    <w:rsid w:val="51FC418E"/>
    <w:rsid w:val="52647659"/>
    <w:rsid w:val="527F720C"/>
    <w:rsid w:val="53876F83"/>
    <w:rsid w:val="54E742B4"/>
    <w:rsid w:val="55DF678E"/>
    <w:rsid w:val="563F5F26"/>
    <w:rsid w:val="56EE2F1F"/>
    <w:rsid w:val="57946F30"/>
    <w:rsid w:val="584668FF"/>
    <w:rsid w:val="59577D3F"/>
    <w:rsid w:val="5A13776F"/>
    <w:rsid w:val="5C7358D8"/>
    <w:rsid w:val="5DB959AE"/>
    <w:rsid w:val="5EBD517B"/>
    <w:rsid w:val="5FA2431B"/>
    <w:rsid w:val="60E93260"/>
    <w:rsid w:val="633A51EB"/>
    <w:rsid w:val="64FE2AFE"/>
    <w:rsid w:val="657C12B1"/>
    <w:rsid w:val="65EF5B85"/>
    <w:rsid w:val="67DF7D15"/>
    <w:rsid w:val="6A2F474B"/>
    <w:rsid w:val="6A3D0A5B"/>
    <w:rsid w:val="6D1B0EA5"/>
    <w:rsid w:val="6D511A93"/>
    <w:rsid w:val="6EF4034E"/>
    <w:rsid w:val="71711121"/>
    <w:rsid w:val="71933AE8"/>
    <w:rsid w:val="71F22A12"/>
    <w:rsid w:val="736C7394"/>
    <w:rsid w:val="73B45BA4"/>
    <w:rsid w:val="7A68667C"/>
    <w:rsid w:val="7B6633BB"/>
    <w:rsid w:val="7D0E3538"/>
    <w:rsid w:val="7D1C592E"/>
    <w:rsid w:val="7E831E30"/>
    <w:rsid w:val="7EB87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ind w:firstLine="420"/>
    </w:pPr>
  </w:style>
  <w:style w:type="paragraph" w:styleId="3">
    <w:name w:val="Normal Indent"/>
    <w:basedOn w:val="1"/>
    <w:qFormat/>
    <w:uiPriority w:val="99"/>
    <w:pPr>
      <w:ind w:firstLine="420"/>
    </w:pPr>
  </w:style>
  <w:style w:type="paragraph" w:styleId="4">
    <w:name w:val="Body Text"/>
    <w:basedOn w:val="1"/>
    <w:next w:val="5"/>
    <w:qFormat/>
    <w:uiPriority w:val="0"/>
    <w:pPr>
      <w:spacing w:after="120"/>
    </w:pPr>
  </w:style>
  <w:style w:type="paragraph" w:styleId="5">
    <w:name w:val="toc 4"/>
    <w:next w:val="1"/>
    <w:qFormat/>
    <w:uiPriority w:val="0"/>
    <w:pPr>
      <w:wordWrap w:val="0"/>
      <w:ind w:left="850"/>
      <w:jc w:val="both"/>
    </w:pPr>
    <w:rPr>
      <w:rFonts w:ascii="Calibri" w:hAnsi="Calibri" w:eastAsia="宋体" w:cs="Times New Roman"/>
      <w:sz w:val="21"/>
      <w:lang w:val="en-US" w:eastAsia="zh-CN" w:bidi="ar-SA"/>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11">
    <w:name w:val="Strong"/>
    <w:basedOn w:val="10"/>
    <w:qFormat/>
    <w:uiPriority w:val="22"/>
    <w:rPr>
      <w:b/>
    </w:rPr>
  </w:style>
  <w:style w:type="character" w:styleId="12">
    <w:name w:val="FollowedHyperlink"/>
    <w:basedOn w:val="10"/>
    <w:semiHidden/>
    <w:unhideWhenUsed/>
    <w:qFormat/>
    <w:uiPriority w:val="99"/>
    <w:rPr>
      <w:color w:val="57BBE9"/>
      <w:u w:val="none"/>
    </w:rPr>
  </w:style>
  <w:style w:type="character" w:styleId="13">
    <w:name w:val="HTML Definition"/>
    <w:basedOn w:val="10"/>
    <w:semiHidden/>
    <w:unhideWhenUsed/>
    <w:qFormat/>
    <w:uiPriority w:val="99"/>
    <w:rPr>
      <w:i/>
    </w:rPr>
  </w:style>
  <w:style w:type="character" w:styleId="14">
    <w:name w:val="Hyperlink"/>
    <w:basedOn w:val="10"/>
    <w:semiHidden/>
    <w:unhideWhenUsed/>
    <w:qFormat/>
    <w:uiPriority w:val="99"/>
    <w:rPr>
      <w:color w:val="57BBE9"/>
      <w:u w:val="none"/>
    </w:rPr>
  </w:style>
  <w:style w:type="character" w:styleId="15">
    <w:name w:val="HTML Code"/>
    <w:basedOn w:val="10"/>
    <w:semiHidden/>
    <w:unhideWhenUsed/>
    <w:qFormat/>
    <w:uiPriority w:val="99"/>
    <w:rPr>
      <w:rFonts w:hint="default" w:ascii="monospace" w:hAnsi="monospace" w:eastAsia="monospace" w:cs="monospace"/>
      <w:sz w:val="21"/>
      <w:szCs w:val="21"/>
    </w:rPr>
  </w:style>
  <w:style w:type="character" w:styleId="16">
    <w:name w:val="HTML Keyboard"/>
    <w:basedOn w:val="10"/>
    <w:semiHidden/>
    <w:unhideWhenUsed/>
    <w:qFormat/>
    <w:uiPriority w:val="99"/>
    <w:rPr>
      <w:rFonts w:ascii="monospace" w:hAnsi="monospace" w:eastAsia="monospace" w:cs="monospace"/>
      <w:sz w:val="21"/>
      <w:szCs w:val="21"/>
    </w:rPr>
  </w:style>
  <w:style w:type="character" w:styleId="17">
    <w:name w:val="HTML Sample"/>
    <w:basedOn w:val="10"/>
    <w:semiHidden/>
    <w:unhideWhenUsed/>
    <w:qFormat/>
    <w:uiPriority w:val="99"/>
    <w:rPr>
      <w:rFonts w:hint="default" w:ascii="monospace" w:hAnsi="monospace" w:eastAsia="monospace" w:cs="monospace"/>
      <w:sz w:val="21"/>
      <w:szCs w:val="21"/>
    </w:rPr>
  </w:style>
  <w:style w:type="character" w:customStyle="1" w:styleId="18">
    <w:name w:val="页眉 字符"/>
    <w:basedOn w:val="10"/>
    <w:link w:val="7"/>
    <w:qFormat/>
    <w:uiPriority w:val="99"/>
    <w:rPr>
      <w:rFonts w:ascii="Times New Roman" w:hAnsi="Times New Roman" w:eastAsia="宋体" w:cs="Times New Roman"/>
      <w:sz w:val="18"/>
      <w:szCs w:val="18"/>
    </w:rPr>
  </w:style>
  <w:style w:type="character" w:customStyle="1" w:styleId="19">
    <w:name w:val="页脚 字符"/>
    <w:basedOn w:val="10"/>
    <w:link w:val="6"/>
    <w:qFormat/>
    <w:uiPriority w:val="99"/>
    <w:rPr>
      <w:rFonts w:ascii="Times New Roman" w:hAnsi="Times New Roman" w:eastAsia="宋体" w:cs="Times New Roman"/>
      <w:sz w:val="18"/>
      <w:szCs w:val="18"/>
    </w:rPr>
  </w:style>
  <w:style w:type="paragraph" w:styleId="20">
    <w:name w:val="List Paragraph"/>
    <w:basedOn w:val="1"/>
    <w:qFormat/>
    <w:uiPriority w:val="34"/>
    <w:pPr>
      <w:ind w:firstLine="420" w:firstLineChars="200"/>
    </w:pPr>
  </w:style>
  <w:style w:type="character" w:customStyle="1" w:styleId="21">
    <w:name w:val="not([class*=suffix])"/>
    <w:basedOn w:val="10"/>
    <w:qFormat/>
    <w:uiPriority w:val="0"/>
    <w:rPr>
      <w:sz w:val="19"/>
      <w:szCs w:val="19"/>
    </w:rPr>
  </w:style>
  <w:style w:type="character" w:customStyle="1" w:styleId="22">
    <w:name w:val="not([class*=suffix])1"/>
    <w:basedOn w:val="10"/>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239</Words>
  <Characters>1365</Characters>
  <Lines>11</Lines>
  <Paragraphs>3</Paragraphs>
  <TotalTime>0</TotalTime>
  <ScaleCrop>false</ScaleCrop>
  <LinksUpToDate>false</LinksUpToDate>
  <CharactersWithSpaces>1601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YWX</cp:lastModifiedBy>
  <cp:lastPrinted>2021-08-03T03:13:00Z</cp:lastPrinted>
  <dcterms:modified xsi:type="dcterms:W3CDTF">2025-01-17T02:26:55Z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E0D6F181224241FFB62639630F96F2E3</vt:lpwstr>
  </property>
</Properties>
</file>