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24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杭州产权交易所有限责任公司：</w:t>
      </w:r>
    </w:p>
    <w:p>
      <w:pPr>
        <w:spacing w:line="24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杭州企业产权交易中心有限公司：</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lang w:eastAsia="zh-CN"/>
        </w:rPr>
        <w:t>承租</w:t>
      </w:r>
      <w:r>
        <w:rPr>
          <w:rFonts w:hint="eastAsia" w:asciiTheme="minorEastAsia" w:hAnsiTheme="minorEastAsia" w:eastAsiaTheme="minorEastAsia" w:cstheme="minorEastAsia"/>
          <w:sz w:val="21"/>
          <w:szCs w:val="21"/>
          <w:highlight w:val="none"/>
          <w:u w:val="single"/>
        </w:rPr>
        <w:t>杭州地铁6、7、8、16号线乘客信息系统广告资源经营权</w:t>
      </w:r>
      <w:r>
        <w:rPr>
          <w:rFonts w:hint="eastAsia" w:asciiTheme="minorEastAsia" w:hAnsiTheme="minorEastAsia" w:eastAsiaTheme="minorEastAsia" w:cstheme="minorEastAsia"/>
          <w:sz w:val="21"/>
          <w:szCs w:val="21"/>
          <w:highlight w:val="none"/>
          <w:lang w:val="en-US" w:eastAsia="zh-CN"/>
        </w:rPr>
        <w:t>项</w:t>
      </w:r>
      <w:r>
        <w:rPr>
          <w:rFonts w:hint="eastAsia" w:asciiTheme="minorEastAsia" w:hAnsiTheme="minorEastAsia" w:eastAsiaTheme="minorEastAsia" w:cstheme="minorEastAsia"/>
          <w:sz w:val="21"/>
          <w:szCs w:val="21"/>
          <w:highlight w:val="none"/>
        </w:rPr>
        <w:t>目，现做如下承诺：</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我</w:t>
      </w:r>
      <w:r>
        <w:rPr>
          <w:rFonts w:hint="eastAsia" w:asciiTheme="minorEastAsia" w:hAnsiTheme="minorEastAsia" w:eastAsiaTheme="minorEastAsia" w:cstheme="minorEastAsia"/>
          <w:sz w:val="21"/>
          <w:szCs w:val="21"/>
          <w:highlight w:val="none"/>
        </w:rPr>
        <w:t>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宋体" w:hAnsi="宋体"/>
          <w:color w:val="000000"/>
          <w:szCs w:val="21"/>
        </w:rPr>
        <w:t>同意在被确定为承租方之日起3个工作日内，携带承租申请材料原件到杭交所完成现场确认并签署《成交通知书》、</w:t>
      </w:r>
      <w:r>
        <w:rPr>
          <w:rFonts w:hint="eastAsia"/>
        </w:rPr>
        <w:t>《杭州地铁6、7、8、16号线乘客信息系统广告资源经营项目合同》</w:t>
      </w:r>
      <w:r>
        <w:rPr>
          <w:rFonts w:hint="eastAsia" w:ascii="宋体" w:hAnsi="宋体"/>
          <w:color w:val="000000"/>
          <w:szCs w:val="21"/>
        </w:rPr>
        <w:t>。并在</w:t>
      </w:r>
      <w:r>
        <w:rPr>
          <w:rFonts w:hint="eastAsia"/>
        </w:rPr>
        <w:t>《杭州地铁6、7、8、16号线乘客信息系统广告资源经营项目合同》</w:t>
      </w:r>
      <w:r>
        <w:rPr>
          <w:rFonts w:hint="eastAsia" w:ascii="宋体" w:hAnsi="宋体"/>
          <w:color w:val="000000"/>
          <w:szCs w:val="21"/>
        </w:rPr>
        <w:t>签署之日起5个工作日内向杭交所指定账户一次性支付交易服务费。首期租金、履约保证金的支付方式以出租方提供的《</w:t>
      </w:r>
      <w:r>
        <w:rPr>
          <w:rFonts w:hint="eastAsia"/>
        </w:rPr>
        <w:t>杭州地铁6、7、8、16号线乘客信息系统广告资源经营项目合同</w:t>
      </w:r>
      <w:r>
        <w:rPr>
          <w:rFonts w:hint="eastAsia" w:ascii="宋体" w:hAnsi="宋体"/>
          <w:color w:val="000000"/>
          <w:szCs w:val="21"/>
        </w:rPr>
        <w:t>》（样本）为准</w:t>
      </w:r>
      <w:r>
        <w:rPr>
          <w:rFonts w:hint="eastAsia" w:asciiTheme="minorEastAsia" w:hAnsiTheme="minorEastAsia" w:eastAsiaTheme="minorEastAsia" w:cstheme="minorEastAsia"/>
          <w:sz w:val="21"/>
          <w:szCs w:val="21"/>
          <w:highlight w:val="none"/>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hint="eastAsia" w:ascii="宋体" w:hAnsi="宋体"/>
          <w:color w:val="000000"/>
          <w:szCs w:val="21"/>
        </w:rPr>
        <w:t>同意杭交所经出租方申请之日起10个工作日内将承租方已交纳的履约保证金、首期租金全部划转至出租方指定账户</w:t>
      </w:r>
      <w:r>
        <w:rPr>
          <w:rFonts w:asciiTheme="minorEastAsia" w:hAnsiTheme="minorEastAsia" w:eastAsiaTheme="minorEastAsia"/>
          <w:sz w:val="21"/>
          <w:szCs w:val="21"/>
          <w:highlight w:val="none"/>
        </w:rPr>
        <w:t>。</w:t>
      </w:r>
    </w:p>
    <w:p>
      <w:pPr>
        <w:spacing w:line="240" w:lineRule="auto"/>
        <w:ind w:firstLine="420" w:firstLineChars="200"/>
        <w:rPr>
          <w:rFonts w:hint="eastAsia" w:eastAsiaTheme="minorEastAsia"/>
          <w:lang w:val="en-US" w:eastAsia="zh-CN"/>
        </w:rPr>
      </w:pPr>
      <w:r>
        <w:rPr>
          <w:rFonts w:hint="eastAsia" w:asciiTheme="minorEastAsia" w:hAnsiTheme="minorEastAsia" w:eastAsiaTheme="minorEastAsia"/>
          <w:sz w:val="21"/>
          <w:szCs w:val="21"/>
          <w:highlight w:val="none"/>
          <w:lang w:val="en-US" w:eastAsia="zh-CN"/>
        </w:rPr>
        <w:t>5、</w:t>
      </w:r>
      <w:r>
        <w:rPr>
          <w:rFonts w:hint="eastAsia" w:ascii="宋体" w:hAnsi="宋体"/>
          <w:color w:val="000000"/>
          <w:szCs w:val="21"/>
        </w:rPr>
        <w:t>意向承租方知悉并同意：本项目含一年可选经营权，出租方与承租方应在固定经营期到期日的90日前协商确认是否执行可选经营期，协商一致后应签订补充协议。未能协商一致的，经营期限自固定经营期到期之日终止</w:t>
      </w:r>
    </w:p>
    <w:p>
      <w:pPr>
        <w:spacing w:line="240" w:lineRule="auto"/>
        <w:ind w:firstLine="420" w:firstLineChars="200"/>
        <w:rPr>
          <w:rFonts w:asciiTheme="minorEastAsia" w:hAnsiTheme="minorEastAsia" w:eastAsiaTheme="minorEastAsia"/>
          <w:b/>
          <w:bCs/>
          <w:sz w:val="21"/>
          <w:szCs w:val="21"/>
          <w:highlight w:val="none"/>
        </w:rPr>
      </w:pPr>
      <w:r>
        <w:rPr>
          <w:rFonts w:hint="eastAsia" w:asciiTheme="minorEastAsia" w:hAnsiTheme="minorEastAsia" w:eastAsiaTheme="minorEastAsia"/>
          <w:sz w:val="21"/>
          <w:szCs w:val="21"/>
          <w:highlight w:val="none"/>
          <w:lang w:val="en-US" w:eastAsia="zh-CN"/>
        </w:rPr>
        <w:t>6、</w:t>
      </w:r>
      <w:r>
        <w:rPr>
          <w:rFonts w:hint="eastAsia" w:ascii="宋体" w:hAnsi="宋体"/>
          <w:color w:val="000000"/>
          <w:szCs w:val="21"/>
          <w:lang w:val="en-US" w:eastAsia="zh-CN"/>
        </w:rPr>
        <w:t>意向承租方知悉并承诺：</w:t>
      </w:r>
      <w:r>
        <w:rPr>
          <w:rFonts w:hint="eastAsia" w:ascii="宋体" w:hAnsi="宋体"/>
          <w:color w:val="000000"/>
          <w:szCs w:val="21"/>
        </w:rPr>
        <w:t>已充分了解《杭州地铁6、7、8、16号线乘客信息系统广告资源经营项目合同》（样本）内容</w:t>
      </w:r>
      <w:r>
        <w:rPr>
          <w:rFonts w:hint="eastAsia" w:ascii="宋体" w:hAnsi="宋体"/>
          <w:color w:val="000000"/>
          <w:szCs w:val="21"/>
          <w:lang w:eastAsia="zh-CN"/>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、若我方成为承租方，我方已知悉并</w:t>
      </w:r>
      <w:r>
        <w:rPr>
          <w:rFonts w:hint="eastAsia" w:asciiTheme="minorEastAsia" w:hAnsiTheme="minorEastAsia" w:eastAsiaTheme="minorEastAsia" w:cstheme="minorEastAsia"/>
          <w:sz w:val="21"/>
          <w:szCs w:val="21"/>
          <w:highlight w:val="none"/>
          <w:lang w:val="en-US" w:eastAsia="zh-CN"/>
        </w:rPr>
        <w:t>承诺：</w:t>
      </w:r>
      <w:r>
        <w:rPr>
          <w:rFonts w:hint="eastAsia" w:ascii="宋体" w:hAnsi="宋体"/>
          <w:color w:val="000000"/>
          <w:szCs w:val="21"/>
        </w:rPr>
        <w:t>本次交易出租方与承租方的权利和义务以出租方确定的《</w:t>
      </w:r>
      <w:r>
        <w:rPr>
          <w:rFonts w:hint="eastAsia"/>
        </w:rPr>
        <w:t>杭州地铁6、7、8、16号线乘客信息系统广告资源经营项目合同</w:t>
      </w:r>
      <w:r>
        <w:rPr>
          <w:rFonts w:hint="eastAsia" w:ascii="宋体" w:hAnsi="宋体"/>
          <w:color w:val="000000"/>
          <w:szCs w:val="21"/>
        </w:rPr>
        <w:t>》（样本）为准</w:t>
      </w:r>
      <w:r>
        <w:rPr>
          <w:rFonts w:hint="eastAsia" w:ascii="宋体" w:hAnsi="宋体"/>
          <w:color w:val="000000"/>
          <w:szCs w:val="21"/>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rPr>
        <w:t>若我方成为承租方，我方已知悉并</w:t>
      </w:r>
      <w:r>
        <w:rPr>
          <w:rFonts w:hint="eastAsia" w:asciiTheme="minorEastAsia" w:hAnsiTheme="minorEastAsia" w:eastAsiaTheme="minorEastAsia" w:cstheme="minorEastAsia"/>
          <w:sz w:val="21"/>
          <w:szCs w:val="21"/>
          <w:highlight w:val="none"/>
          <w:lang w:val="en-US" w:eastAsia="zh-CN"/>
        </w:rPr>
        <w:t>承诺：</w:t>
      </w:r>
      <w:r>
        <w:rPr>
          <w:rFonts w:ascii="宋体" w:hAnsi="宋体"/>
          <w:color w:val="000000"/>
          <w:szCs w:val="21"/>
        </w:rPr>
        <w:t>本项目</w:t>
      </w:r>
      <w:r>
        <w:rPr>
          <w:rFonts w:hint="eastAsia" w:ascii="宋体" w:hAnsi="宋体"/>
          <w:color w:val="000000"/>
          <w:szCs w:val="21"/>
        </w:rPr>
        <w:t>交易服务费由</w:t>
      </w:r>
      <w:r>
        <w:rPr>
          <w:rFonts w:ascii="宋体" w:hAnsi="宋体"/>
          <w:color w:val="000000"/>
          <w:szCs w:val="21"/>
        </w:rPr>
        <w:t>承租方</w:t>
      </w:r>
      <w:r>
        <w:rPr>
          <w:rFonts w:hint="eastAsia" w:ascii="宋体" w:hAnsi="宋体"/>
          <w:color w:val="000000"/>
          <w:szCs w:val="21"/>
        </w:rPr>
        <w:t>承担，具体如下：1）征集到二位及以上意向受让方报名并成交的，向受让方收取8789元计的交易服务费；对于只征集到一位意向承租人报名并成交，向受让方收取7032元计的交易服务费。</w:t>
      </w:r>
    </w:p>
    <w:p>
      <w:pPr>
        <w:ind w:firstLine="420" w:firstLineChars="200"/>
        <w:rPr>
          <w:rFonts w:hint="eastAsia" w:ascii="宋体" w:hAnsi="宋体"/>
          <w:bCs/>
          <w:color w:val="000000"/>
          <w:szCs w:val="21"/>
        </w:rPr>
      </w:pP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rPr>
        <w:t>、</w:t>
      </w:r>
      <w:r>
        <w:rPr>
          <w:rFonts w:hint="eastAsia" w:ascii="宋体" w:hAnsi="宋体"/>
          <w:bCs/>
          <w:color w:val="000000"/>
          <w:szCs w:val="21"/>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ind w:firstLine="420" w:firstLineChars="200"/>
        <w:rPr>
          <w:rFonts w:hint="eastAsia" w:ascii="宋体" w:hAnsi="宋体"/>
          <w:bCs/>
          <w:color w:val="000000"/>
          <w:szCs w:val="21"/>
        </w:rPr>
      </w:pPr>
      <w:r>
        <w:rPr>
          <w:rFonts w:hint="eastAsia" w:ascii="宋体" w:hAnsi="宋体"/>
          <w:bCs/>
          <w:color w:val="000000"/>
          <w:szCs w:val="21"/>
        </w:rPr>
        <w:t>（1）意向承租方提交承租申请材料并交纳交易保证金后单方撤回承租申请的；</w:t>
      </w:r>
    </w:p>
    <w:p>
      <w:pPr>
        <w:ind w:firstLine="420" w:firstLineChars="200"/>
        <w:rPr>
          <w:rFonts w:hint="eastAsia" w:ascii="宋体" w:hAnsi="宋体"/>
          <w:bCs/>
          <w:color w:val="000000"/>
          <w:szCs w:val="21"/>
        </w:rPr>
      </w:pPr>
      <w:r>
        <w:rPr>
          <w:rFonts w:hint="eastAsia" w:ascii="宋体" w:hAnsi="宋体"/>
          <w:bCs/>
          <w:color w:val="000000"/>
          <w:szCs w:val="21"/>
        </w:rPr>
        <w:t>（2）产生符合条件的意向承租方后，各意向承租方在竞价期间均不报价的；</w:t>
      </w:r>
    </w:p>
    <w:p>
      <w:pPr>
        <w:ind w:firstLine="420" w:firstLineChars="200"/>
        <w:rPr>
          <w:rFonts w:hint="eastAsia" w:ascii="宋体" w:hAnsi="宋体"/>
          <w:bCs/>
          <w:color w:val="000000"/>
          <w:szCs w:val="21"/>
        </w:rPr>
      </w:pPr>
      <w:r>
        <w:rPr>
          <w:rFonts w:hint="eastAsia" w:ascii="宋体" w:hAnsi="宋体"/>
          <w:bCs/>
          <w:color w:val="000000"/>
          <w:szCs w:val="21"/>
        </w:rPr>
        <w:t>（3）在被确定为承租方后未按约定签署</w:t>
      </w:r>
      <w:r>
        <w:rPr>
          <w:rFonts w:hint="eastAsia"/>
        </w:rPr>
        <w:t>《杭州地铁6、7、8、16号线乘客信息系统广告资源经营项目合同》</w:t>
      </w:r>
      <w:r>
        <w:rPr>
          <w:rFonts w:hint="eastAsia" w:ascii="宋体" w:hAnsi="宋体"/>
          <w:bCs/>
          <w:color w:val="000000"/>
          <w:szCs w:val="21"/>
        </w:rPr>
        <w:t>及其附件的或未按约定支付交易服务费、履约保证金和首期经营权费的；</w:t>
      </w:r>
    </w:p>
    <w:p>
      <w:pPr>
        <w:ind w:firstLine="420" w:firstLineChars="200"/>
        <w:rPr>
          <w:rFonts w:hint="eastAsia" w:ascii="宋体" w:hAnsi="宋体"/>
          <w:bCs/>
          <w:color w:val="000000"/>
          <w:szCs w:val="21"/>
        </w:rPr>
      </w:pPr>
      <w:r>
        <w:rPr>
          <w:rFonts w:hint="eastAsia" w:ascii="宋体" w:hAnsi="宋体"/>
          <w:bCs/>
          <w:color w:val="000000"/>
          <w:szCs w:val="21"/>
        </w:rPr>
        <w:t>（4）意向承租方未履行书面承诺事项的；</w:t>
      </w:r>
    </w:p>
    <w:p>
      <w:pPr>
        <w:ind w:firstLine="420" w:firstLineChars="200"/>
        <w:rPr>
          <w:rFonts w:hint="eastAsia" w:ascii="宋体" w:hAnsi="宋体"/>
          <w:bCs/>
          <w:color w:val="000000"/>
          <w:szCs w:val="21"/>
        </w:rPr>
      </w:pPr>
      <w:r>
        <w:rPr>
          <w:rFonts w:hint="eastAsia" w:ascii="宋体" w:hAnsi="宋体"/>
          <w:bCs/>
          <w:color w:val="000000"/>
          <w:szCs w:val="21"/>
        </w:rPr>
        <w:t>（5）存在其他违反交易规则情形的</w:t>
      </w:r>
      <w:bookmarkStart w:id="0" w:name="_GoBack"/>
      <w:bookmarkEnd w:id="0"/>
      <w:r>
        <w:rPr>
          <w:rFonts w:hint="eastAsia" w:ascii="宋体" w:hAnsi="宋体"/>
          <w:bCs/>
          <w:color w:val="000000"/>
          <w:szCs w:val="21"/>
        </w:rPr>
        <w:t>。</w:t>
      </w:r>
    </w:p>
    <w:p>
      <w:pPr>
        <w:spacing w:line="240" w:lineRule="auto"/>
        <w:rPr>
          <w:rFonts w:asciiTheme="minorEastAsia" w:hAnsiTheme="minorEastAsia" w:eastAsiaTheme="minorEastAsia"/>
          <w:sz w:val="21"/>
          <w:szCs w:val="21"/>
          <w:highlight w:val="none"/>
        </w:rPr>
      </w:pP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w:t>
      </w:r>
      <w:r>
        <w:rPr>
          <w:rFonts w:hint="eastAsia" w:asciiTheme="minorEastAsia" w:hAnsiTheme="minorEastAsia" w:eastAsiaTheme="minorEastAsia"/>
          <w:sz w:val="21"/>
          <w:szCs w:val="21"/>
          <w:highlight w:val="none"/>
          <w:lang w:eastAsia="zh-CN"/>
        </w:rPr>
        <w:t>承租</w:t>
      </w:r>
      <w:r>
        <w:rPr>
          <w:rFonts w:hint="eastAsia" w:asciiTheme="minorEastAsia" w:hAnsiTheme="minorEastAsia" w:eastAsiaTheme="minorEastAsia"/>
          <w:sz w:val="21"/>
          <w:szCs w:val="21"/>
          <w:highlight w:val="none"/>
        </w:rPr>
        <w:t>方（签章）：</w:t>
      </w:r>
    </w:p>
    <w:p>
      <w:pPr>
        <w:spacing w:line="240" w:lineRule="auto"/>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7A10EC"/>
    <w:multiLevelType w:val="multilevel"/>
    <w:tmpl w:val="587A10EC"/>
    <w:lvl w:ilvl="0" w:tentative="0">
      <w:start w:val="1"/>
      <w:numFmt w:val="decimal"/>
      <w:lvlText w:val="%1"/>
      <w:lvlJc w:val="left"/>
      <w:pPr>
        <w:tabs>
          <w:tab w:val="left" w:pos="432"/>
        </w:tabs>
        <w:ind w:left="432" w:hanging="432"/>
      </w:pPr>
      <w:rPr>
        <w:rFonts w:hint="default"/>
      </w:rPr>
    </w:lvl>
    <w:lvl w:ilvl="1" w:tentative="0">
      <w:start w:val="1"/>
      <w:numFmt w:val="decimal"/>
      <w:lvlText w:val="%1.%2"/>
      <w:lvlJc w:val="left"/>
      <w:pPr>
        <w:tabs>
          <w:tab w:val="left" w:pos="756"/>
        </w:tabs>
        <w:ind w:left="756" w:hanging="576"/>
      </w:pPr>
      <w:rPr>
        <w:rFonts w:hint="default"/>
        <w:color w:val="auto"/>
      </w:rPr>
    </w:lvl>
    <w:lvl w:ilvl="2" w:tentative="0">
      <w:start w:val="1"/>
      <w:numFmt w:val="decimal"/>
      <w:pStyle w:val="4"/>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2610637"/>
    <w:rsid w:val="02615A21"/>
    <w:rsid w:val="02720D6F"/>
    <w:rsid w:val="03066051"/>
    <w:rsid w:val="033F1305"/>
    <w:rsid w:val="03637B8E"/>
    <w:rsid w:val="059E2874"/>
    <w:rsid w:val="06262CE2"/>
    <w:rsid w:val="06A90044"/>
    <w:rsid w:val="0766770C"/>
    <w:rsid w:val="09B7306A"/>
    <w:rsid w:val="09E76B80"/>
    <w:rsid w:val="0B244B23"/>
    <w:rsid w:val="0BFF1D04"/>
    <w:rsid w:val="0DF1051E"/>
    <w:rsid w:val="0E834802"/>
    <w:rsid w:val="0FC71C56"/>
    <w:rsid w:val="0FE4035F"/>
    <w:rsid w:val="124C7A90"/>
    <w:rsid w:val="13A47F76"/>
    <w:rsid w:val="1510353C"/>
    <w:rsid w:val="15337A69"/>
    <w:rsid w:val="167D3903"/>
    <w:rsid w:val="173E5800"/>
    <w:rsid w:val="18467FFE"/>
    <w:rsid w:val="1AE925D2"/>
    <w:rsid w:val="1BA11F39"/>
    <w:rsid w:val="1BF84071"/>
    <w:rsid w:val="1CBF22CE"/>
    <w:rsid w:val="1E116E93"/>
    <w:rsid w:val="1E2D5CBF"/>
    <w:rsid w:val="1F2A13DB"/>
    <w:rsid w:val="21CE6A63"/>
    <w:rsid w:val="2211247F"/>
    <w:rsid w:val="22DC671A"/>
    <w:rsid w:val="23116AFC"/>
    <w:rsid w:val="250F79C4"/>
    <w:rsid w:val="26275F05"/>
    <w:rsid w:val="264F4578"/>
    <w:rsid w:val="267218C9"/>
    <w:rsid w:val="27541626"/>
    <w:rsid w:val="27977B16"/>
    <w:rsid w:val="27AA290F"/>
    <w:rsid w:val="285D694C"/>
    <w:rsid w:val="298F1A25"/>
    <w:rsid w:val="29AD2E5E"/>
    <w:rsid w:val="2ABF17AD"/>
    <w:rsid w:val="2AC44BCE"/>
    <w:rsid w:val="2B885500"/>
    <w:rsid w:val="2C396FCF"/>
    <w:rsid w:val="2D677D69"/>
    <w:rsid w:val="2E574DDA"/>
    <w:rsid w:val="2F1E77C3"/>
    <w:rsid w:val="2F4F78D8"/>
    <w:rsid w:val="2F682983"/>
    <w:rsid w:val="2FA5177C"/>
    <w:rsid w:val="3004010D"/>
    <w:rsid w:val="304D2D7D"/>
    <w:rsid w:val="30664B53"/>
    <w:rsid w:val="30FE4BEF"/>
    <w:rsid w:val="31B87656"/>
    <w:rsid w:val="3205455A"/>
    <w:rsid w:val="32350145"/>
    <w:rsid w:val="32FB67E2"/>
    <w:rsid w:val="34511A11"/>
    <w:rsid w:val="34DF6491"/>
    <w:rsid w:val="3720484D"/>
    <w:rsid w:val="385F4F8F"/>
    <w:rsid w:val="390D60C4"/>
    <w:rsid w:val="3B103714"/>
    <w:rsid w:val="3B6738AB"/>
    <w:rsid w:val="3E714D02"/>
    <w:rsid w:val="3FF21887"/>
    <w:rsid w:val="410C55F5"/>
    <w:rsid w:val="42690C15"/>
    <w:rsid w:val="434954AA"/>
    <w:rsid w:val="44531466"/>
    <w:rsid w:val="45962498"/>
    <w:rsid w:val="45D5187E"/>
    <w:rsid w:val="499E6D18"/>
    <w:rsid w:val="4AE11B9D"/>
    <w:rsid w:val="4AFE08AD"/>
    <w:rsid w:val="4B2015F5"/>
    <w:rsid w:val="4CD26E37"/>
    <w:rsid w:val="4E376061"/>
    <w:rsid w:val="502F6799"/>
    <w:rsid w:val="5187378F"/>
    <w:rsid w:val="530C093A"/>
    <w:rsid w:val="53241334"/>
    <w:rsid w:val="53E378B1"/>
    <w:rsid w:val="54D86F48"/>
    <w:rsid w:val="566C6246"/>
    <w:rsid w:val="574E5FE2"/>
    <w:rsid w:val="58B12DCB"/>
    <w:rsid w:val="5A7D1B2E"/>
    <w:rsid w:val="5B7B2FC6"/>
    <w:rsid w:val="5C5C5FCC"/>
    <w:rsid w:val="5F1477B7"/>
    <w:rsid w:val="5F571A46"/>
    <w:rsid w:val="5FCB5153"/>
    <w:rsid w:val="619D745F"/>
    <w:rsid w:val="61AF66CB"/>
    <w:rsid w:val="62141232"/>
    <w:rsid w:val="63467DB9"/>
    <w:rsid w:val="63C12C87"/>
    <w:rsid w:val="65FA377A"/>
    <w:rsid w:val="663421EF"/>
    <w:rsid w:val="665E6E47"/>
    <w:rsid w:val="68593726"/>
    <w:rsid w:val="68EE06C5"/>
    <w:rsid w:val="68F716F5"/>
    <w:rsid w:val="69060B68"/>
    <w:rsid w:val="69EF29A2"/>
    <w:rsid w:val="69F37131"/>
    <w:rsid w:val="6AF126F7"/>
    <w:rsid w:val="6B2777BD"/>
    <w:rsid w:val="6B7C4F72"/>
    <w:rsid w:val="6BBC636F"/>
    <w:rsid w:val="6EF12CC7"/>
    <w:rsid w:val="706A15A9"/>
    <w:rsid w:val="706F46D2"/>
    <w:rsid w:val="70B47A2A"/>
    <w:rsid w:val="714C77AC"/>
    <w:rsid w:val="71615C3D"/>
    <w:rsid w:val="71A316B5"/>
    <w:rsid w:val="71D57417"/>
    <w:rsid w:val="725239F0"/>
    <w:rsid w:val="730B6342"/>
    <w:rsid w:val="740B5DE5"/>
    <w:rsid w:val="745D4756"/>
    <w:rsid w:val="74862807"/>
    <w:rsid w:val="748A1EE8"/>
    <w:rsid w:val="75207667"/>
    <w:rsid w:val="76DA15F9"/>
    <w:rsid w:val="78320567"/>
    <w:rsid w:val="787439E9"/>
    <w:rsid w:val="78A51424"/>
    <w:rsid w:val="795E558F"/>
    <w:rsid w:val="79BE53CA"/>
    <w:rsid w:val="7B597F4D"/>
    <w:rsid w:val="7C1028CE"/>
    <w:rsid w:val="7C5A0139"/>
    <w:rsid w:val="7D1019F9"/>
    <w:rsid w:val="7D202B8D"/>
    <w:rsid w:val="7F4B1FF2"/>
    <w:rsid w:val="7F9A28C8"/>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60" w:after="60"/>
      <w:outlineLvl w:val="0"/>
    </w:pPr>
    <w:rPr>
      <w:rFonts w:ascii="仿宋_GB2312" w:eastAsia="仿宋_GB2312"/>
      <w:sz w:val="24"/>
    </w:rPr>
  </w:style>
  <w:style w:type="paragraph" w:styleId="4">
    <w:name w:val="heading 3"/>
    <w:basedOn w:val="1"/>
    <w:next w:val="1"/>
    <w:qFormat/>
    <w:uiPriority w:val="0"/>
    <w:pPr>
      <w:keepNext/>
      <w:numPr>
        <w:ilvl w:val="2"/>
        <w:numId w:val="1"/>
      </w:numPr>
      <w:spacing w:before="240" w:after="60"/>
      <w:outlineLvl w:val="2"/>
    </w:pPr>
    <w:rPr>
      <w:rFonts w:ascii="Arial" w:hAnsi="Arial" w:cs="Arial"/>
      <w:b/>
      <w:bCs/>
      <w:sz w:val="26"/>
      <w:szCs w:val="26"/>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样式 标题 1 + 四号 加粗"/>
    <w:basedOn w:val="3"/>
    <w:qFormat/>
    <w:uiPriority w:val="0"/>
    <w:rPr>
      <w:rFonts w:eastAsia="黑体"/>
      <w:bCs/>
    </w:rPr>
  </w:style>
  <w:style w:type="paragraph" w:styleId="5">
    <w:name w:val="Body Text"/>
    <w:basedOn w:val="1"/>
    <w:next w:val="6"/>
    <w:qFormat/>
    <w:uiPriority w:val="99"/>
    <w:pPr>
      <w:spacing w:before="120" w:after="120" w:line="360" w:lineRule="auto"/>
      <w:ind w:firstLine="800" w:firstLineChars="200"/>
    </w:pPr>
    <w:rPr>
      <w:rFonts w:ascii="宋体" w:hAnsi="宋体"/>
      <w:lang w:val="zh-CN"/>
    </w:rPr>
  </w:style>
  <w:style w:type="paragraph" w:styleId="6">
    <w:name w:val="Body Text First Indent"/>
    <w:basedOn w:val="5"/>
    <w:next w:val="1"/>
    <w:qFormat/>
    <w:uiPriority w:val="99"/>
    <w:pPr>
      <w:ind w:firstLine="420" w:firstLineChars="100"/>
    </w:pPr>
  </w:style>
  <w:style w:type="paragraph" w:styleId="7">
    <w:name w:val="footer"/>
    <w:basedOn w:val="1"/>
    <w:link w:val="12"/>
    <w:semiHidden/>
    <w:unhideWhenUsed/>
    <w:qFormat/>
    <w:uiPriority w:val="99"/>
    <w:pPr>
      <w:tabs>
        <w:tab w:val="center" w:pos="4153"/>
        <w:tab w:val="right" w:pos="8306"/>
      </w:tabs>
      <w:snapToGrid w:val="0"/>
      <w:jc w:val="left"/>
    </w:pPr>
    <w:rPr>
      <w:sz w:val="18"/>
      <w:szCs w:val="18"/>
    </w:rPr>
  </w:style>
  <w:style w:type="paragraph" w:styleId="8">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semiHidden/>
    <w:qFormat/>
    <w:uiPriority w:val="99"/>
    <w:rPr>
      <w:rFonts w:ascii="Times New Roman" w:hAnsi="Times New Roman" w:eastAsia="宋体" w:cs="Times New Roman"/>
      <w:sz w:val="18"/>
      <w:szCs w:val="18"/>
    </w:rPr>
  </w:style>
  <w:style w:type="character" w:customStyle="1" w:styleId="12">
    <w:name w:val="页脚 Char"/>
    <w:basedOn w:val="10"/>
    <w:link w:val="7"/>
    <w:semiHidden/>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林俊耀</cp:lastModifiedBy>
  <dcterms:modified xsi:type="dcterms:W3CDTF">2024-12-25T06:43:04Z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B3AB801099B348EF99369285FDB2180F</vt:lpwstr>
  </property>
</Properties>
</file>