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lang w:val="en-US" w:eastAsia="zh-CN"/>
        </w:rPr>
        <w:t xml:space="preserve"> </w:t>
      </w: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u w:val="single"/>
          <w:lang w:eastAsia="zh-CN"/>
        </w:rPr>
        <w:t>四川省德阳市庐山南路三段7号明康·华庭阳光小区600个地下车位1年租赁权</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hint="eastAsia" w:asciiTheme="minorEastAsia" w:hAnsiTheme="minorEastAsia" w:eastAsiaTheme="minorEastAsia" w:cstheme="minorEastAsia"/>
          <w:sz w:val="21"/>
          <w:szCs w:val="21"/>
          <w:highlight w:val="none"/>
          <w:u w:val="single"/>
          <w:lang w:val="en-US" w:eastAsia="zh-CN"/>
        </w:rPr>
        <w:t>《房屋出租交易规则》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24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sz w:val="21"/>
          <w:szCs w:val="21"/>
          <w:highlight w:val="none"/>
        </w:rPr>
        <w:t>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numPr>
          <w:ilvl w:val="0"/>
          <w:numId w:val="0"/>
        </w:num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3、</w:t>
      </w:r>
      <w:r>
        <w:rPr>
          <w:rFonts w:hint="eastAsia"/>
        </w:rPr>
        <w:t>同意在被确定为承租方之日起3个工作日内，携带承租申请材料原件到杭交所完成现场确认并签署《成交通知书》、《</w:t>
      </w:r>
      <w:r>
        <w:rPr>
          <w:rFonts w:hint="eastAsia"/>
          <w:lang w:eastAsia="zh-CN"/>
        </w:rPr>
        <w:t>明康·华庭阳光小区600个车位租赁经营管理合同</w:t>
      </w:r>
      <w:r>
        <w:rPr>
          <w:rFonts w:hint="eastAsia"/>
        </w:rPr>
        <w:t>》；并在《成交通知书》、《</w:t>
      </w:r>
      <w:r>
        <w:rPr>
          <w:rFonts w:hint="eastAsia"/>
          <w:lang w:eastAsia="zh-CN"/>
        </w:rPr>
        <w:t>明康·华庭阳光小区600个车位租赁经营管理合同</w:t>
      </w:r>
      <w:r>
        <w:rPr>
          <w:rFonts w:hint="eastAsia"/>
        </w:rPr>
        <w:t>》签署之日起5个工作日内向杭交所指定账户一次性支付交易服务费、履约保证金</w:t>
      </w:r>
      <w:r>
        <w:rPr>
          <w:rFonts w:hint="eastAsia"/>
          <w:lang w:val="en-US" w:eastAsia="zh-CN"/>
        </w:rPr>
        <w:t>及</w:t>
      </w:r>
      <w:r>
        <w:rPr>
          <w:rFonts w:hint="eastAsia"/>
        </w:rPr>
        <w:t>首期租金等交易资金（以到账时间为准）</w:t>
      </w:r>
      <w:r>
        <w:rPr>
          <w:rFonts w:hint="eastAsia" w:asciiTheme="minorEastAsia" w:hAnsiTheme="minorEastAsia" w:eastAsiaTheme="minorEastAsia"/>
          <w:szCs w:val="21"/>
          <w:lang w:eastAsia="zh-CN"/>
        </w:rPr>
        <w:t>。</w:t>
      </w:r>
    </w:p>
    <w:p>
      <w:pPr>
        <w:numPr>
          <w:ilvl w:val="0"/>
          <w:numId w:val="0"/>
        </w:numPr>
        <w:spacing w:line="240" w:lineRule="auto"/>
        <w:ind w:firstLine="420" w:firstLineChars="200"/>
        <w:rPr>
          <w:rFonts w:hint="eastAsia" w:asciiTheme="minorEastAsia" w:hAnsiTheme="minorEastAsia" w:eastAsiaTheme="minorEastAsia"/>
          <w:b w:val="0"/>
          <w:bCs w:val="0"/>
          <w:szCs w:val="21"/>
        </w:rPr>
      </w:pPr>
      <w:r>
        <w:rPr>
          <w:rFonts w:hint="eastAsia" w:asciiTheme="minorEastAsia" w:hAnsiTheme="minorEastAsia" w:eastAsiaTheme="minorEastAsia"/>
          <w:b w:val="0"/>
          <w:bCs w:val="0"/>
          <w:szCs w:val="21"/>
        </w:rPr>
        <w:t>4、</w:t>
      </w:r>
      <w:r>
        <w:rPr>
          <w:rFonts w:hint="eastAsia"/>
        </w:rPr>
        <w:t>同意杭交所在经出租方申请之日起3个工作日内将承租方已交纳的履约保证金</w:t>
      </w:r>
      <w:r>
        <w:rPr>
          <w:rFonts w:hint="eastAsia"/>
          <w:lang w:val="en-US" w:eastAsia="zh-CN"/>
        </w:rPr>
        <w:t>、</w:t>
      </w:r>
      <w:r>
        <w:rPr>
          <w:rFonts w:hint="eastAsia"/>
        </w:rPr>
        <w:t>首期租金全部划转至出租方指定账户</w:t>
      </w:r>
      <w:r>
        <w:rPr>
          <w:rFonts w:hint="eastAsia" w:asciiTheme="minorEastAsia" w:hAnsiTheme="minorEastAsia" w:eastAsiaTheme="minorEastAsia"/>
          <w:b w:val="0"/>
          <w:bCs w:val="0"/>
          <w:szCs w:val="21"/>
        </w:rPr>
        <w:t>。</w:t>
      </w:r>
    </w:p>
    <w:p>
      <w:pPr>
        <w:numPr>
          <w:ilvl w:val="0"/>
          <w:numId w:val="0"/>
        </w:num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5、我方知悉并承诺：</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承租方在租赁后，因证载用途与租赁用途不一致而需要办理相关审批手续的，由承租方自行负责办理，出租方予以协助，如因此需缴纳相关费用的，由承租方负责，出租方不承担任何责任。承租方应充分了解上述情况，由此无法办理工商登记及其他行政审批等相关手续，承租方如有损失自行承担。若承租方需临时改变房屋（土地）使用性质，相关审批及手续由承租方自行办理，由此产生的包括土地收益金等在内的一切费用由承租方承担。对于相关部门是否批准，出租方不作任何保证、不承担任何责任，承租方承诺不因此提出索赔。</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rPr>
        <w:t>承租方已明确知悉并接受</w:t>
      </w:r>
      <w:r>
        <w:rPr>
          <w:rFonts w:hint="eastAsia"/>
          <w:lang w:eastAsia="zh-CN"/>
        </w:rPr>
        <w:t>出租标的</w:t>
      </w:r>
      <w:r>
        <w:rPr>
          <w:rFonts w:hint="eastAsia"/>
        </w:rPr>
        <w:t>的规划用途、产权情况、性质等限制条件，承租方承诺不因此提出索赔。承租方对其租赁用途所需的相关审批、备案、办证等手续以及法律、法规、规章、政策要求均已清楚了解，对相应风险已知悉并自愿承担。</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w:t>
      </w:r>
      <w:r>
        <w:rPr>
          <w:rFonts w:hint="eastAsia"/>
        </w:rPr>
        <w:t>承租方在该</w:t>
      </w:r>
      <w:r>
        <w:rPr>
          <w:rFonts w:hint="eastAsia"/>
          <w:lang w:eastAsia="zh-CN"/>
        </w:rPr>
        <w:t>出租标的</w:t>
      </w:r>
      <w:r>
        <w:rPr>
          <w:rFonts w:hint="eastAsia"/>
        </w:rPr>
        <w:t>内开展及经营其业务前，应向政府主管部门取得所有必要的执照、批准或许可证等，自行办理相关许可证及相关登记文件，承担由此产生的费用。承租方应确保该执照、批准或许可证在租赁期限内完全有</w:t>
      </w:r>
      <w:r>
        <w:rPr>
          <w:rFonts w:hint="eastAsia"/>
          <w:color w:val="auto"/>
        </w:rPr>
        <w:t>效，及在各方面均符合该执照、批准或许可证的规定。并且，承租方在该</w:t>
      </w:r>
      <w:r>
        <w:rPr>
          <w:rFonts w:hint="eastAsia"/>
          <w:color w:val="auto"/>
          <w:lang w:eastAsia="zh-CN"/>
        </w:rPr>
        <w:t>出租标的</w:t>
      </w:r>
      <w:r>
        <w:rPr>
          <w:rFonts w:hint="eastAsia"/>
          <w:color w:val="auto"/>
        </w:rPr>
        <w:t>的经营活动不得违反有关的法律、法规，必须确保其经营的合法性，否则，承租方将承担因其不正当经营所造成的一切责任和后果。</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auto"/>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color w:val="auto"/>
          <w:lang w:val="en-US" w:eastAsia="zh-CN"/>
        </w:rPr>
        <w:t>承租方</w:t>
      </w:r>
      <w:r>
        <w:rPr>
          <w:rFonts w:hint="eastAsia"/>
          <w:color w:val="auto"/>
        </w:rPr>
        <w:t>不得擅自改变车位划线的布局、增减装饰装修或附属设施；不得对车库主体结构（指梁、柱、板等建筑学中的定义）及车位周围的设备管网造成损坏。车位地锁等设施的维修和保养工作由</w:t>
      </w:r>
      <w:r>
        <w:rPr>
          <w:rFonts w:hint="eastAsia"/>
          <w:color w:val="auto"/>
          <w:lang w:val="en-US" w:eastAsia="zh-CN"/>
        </w:rPr>
        <w:t>承租方</w:t>
      </w:r>
      <w:r>
        <w:rPr>
          <w:rFonts w:hint="eastAsia"/>
          <w:color w:val="auto"/>
        </w:rPr>
        <w:t>负责并承担费用。</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w:t>
      </w:r>
      <w:r>
        <w:rPr>
          <w:rFonts w:hint="eastAsia" w:ascii="宋体" w:hAnsi="宋体"/>
          <w:color w:val="auto"/>
          <w:szCs w:val="21"/>
        </w:rPr>
        <w:t>租赁期内，未经出租方书面同意，承租方不得</w:t>
      </w:r>
      <w:r>
        <w:rPr>
          <w:rFonts w:hint="eastAsia" w:ascii="宋体" w:hAnsi="宋体"/>
          <w:color w:val="auto"/>
          <w:szCs w:val="21"/>
          <w:lang w:val="en-US" w:eastAsia="zh-CN"/>
        </w:rPr>
        <w:t>擅自</w:t>
      </w:r>
      <w:r>
        <w:rPr>
          <w:rFonts w:hint="eastAsia" w:ascii="宋体" w:hAnsi="宋体"/>
          <w:color w:val="auto"/>
          <w:szCs w:val="21"/>
        </w:rPr>
        <w:t>转租。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w:t>
      </w:r>
      <w:r>
        <w:rPr>
          <w:rFonts w:hint="eastAsia"/>
          <w:color w:val="auto"/>
        </w:rPr>
        <w:t>成交后，承租方须与杭州市城市建设发展集团有限公司签订《</w:t>
      </w:r>
      <w:r>
        <w:rPr>
          <w:rFonts w:hint="eastAsia"/>
          <w:color w:val="auto"/>
          <w:lang w:eastAsia="zh-CN"/>
        </w:rPr>
        <w:t>明康·华庭阳光小区600个车位租赁经营管理合同</w:t>
      </w:r>
      <w:r>
        <w:rPr>
          <w:rFonts w:hint="eastAsia"/>
          <w:color w:val="auto"/>
        </w:rPr>
        <w:t>》。租金由杭州市城市建设发展集团有限公司收取并向承租方出具租赁发票；履约保证金由出租方收取并向承租方出具收据。</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w:t>
      </w:r>
      <w:r>
        <w:rPr>
          <w:rFonts w:hint="eastAsia"/>
          <w:color w:val="auto"/>
        </w:rPr>
        <w:t>出租方与承租方的权利和义务以出租方提供的《</w:t>
      </w:r>
      <w:r>
        <w:rPr>
          <w:rFonts w:hint="eastAsia"/>
          <w:color w:val="auto"/>
          <w:lang w:eastAsia="zh-CN"/>
        </w:rPr>
        <w:t>明康·华庭阳光小区600个车位租赁经营管理合同</w:t>
      </w:r>
      <w:r>
        <w:rPr>
          <w:rFonts w:hint="eastAsia"/>
          <w:color w:val="auto"/>
        </w:rPr>
        <w:t>》为准。</w:t>
      </w:r>
    </w:p>
    <w:p>
      <w:pPr>
        <w:spacing w:line="24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6、同意</w:t>
      </w:r>
      <w:r>
        <w:rPr>
          <w:rFonts w:hint="eastAsia" w:asciiTheme="minorEastAsia" w:hAnsiTheme="minorEastAsia" w:eastAsiaTheme="minorEastAsia"/>
          <w:szCs w:val="21"/>
          <w:lang w:val="en-US" w:eastAsia="zh-CN"/>
        </w:rPr>
        <w:t>按以下标准</w:t>
      </w:r>
      <w:r>
        <w:rPr>
          <w:rFonts w:hint="eastAsia" w:asciiTheme="minorEastAsia" w:hAnsiTheme="minorEastAsia" w:eastAsiaTheme="minorEastAsia"/>
          <w:szCs w:val="21"/>
        </w:rPr>
        <w:t>交纳交易服务费</w:t>
      </w:r>
      <w:r>
        <w:rPr>
          <w:rFonts w:hint="eastAsia" w:asciiTheme="minorEastAsia" w:hAnsiTheme="minorEastAsia" w:eastAsiaTheme="minorEastAsia"/>
          <w:szCs w:val="21"/>
          <w:lang w:eastAsia="zh-CN"/>
        </w:rPr>
        <w:t>：</w:t>
      </w:r>
      <w:r>
        <w:rPr>
          <w:rFonts w:hint="eastAsia" w:ascii="宋体" w:hAnsi="宋体" w:eastAsia="宋体" w:cs="宋体"/>
          <w:kern w:val="0"/>
          <w:sz w:val="21"/>
          <w:szCs w:val="21"/>
        </w:rPr>
        <w:t>各年租金累计在800万元以下(含)的，交易服务费按各年租金累计额的2%计取；各年租金累计在800万元以上的，交易服务费按各年租金累计额的1.5%计取</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经纪会员</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24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ascii="宋体" w:hAnsi="宋体" w:eastAsia="宋体"/>
          <w:b w:val="0"/>
          <w:bCs/>
          <w:sz w:val="21"/>
          <w:szCs w:val="21"/>
          <w:highlight w:val="none"/>
        </w:rPr>
        <w:t>《</w:t>
      </w:r>
      <w:r>
        <w:rPr>
          <w:rFonts w:hint="eastAsia" w:ascii="宋体" w:hAnsi="宋体" w:eastAsia="宋体"/>
          <w:b w:val="0"/>
          <w:bCs/>
          <w:sz w:val="21"/>
          <w:szCs w:val="21"/>
          <w:highlight w:val="none"/>
          <w:lang w:eastAsia="zh-CN"/>
        </w:rPr>
        <w:t>明康·华庭阳光小区600个车位租赁经营管理合同</w:t>
      </w:r>
      <w:r>
        <w:rPr>
          <w:rFonts w:hint="eastAsia" w:ascii="宋体" w:hAnsi="宋体" w:eastAsia="宋体"/>
          <w:b w:val="0"/>
          <w:bCs/>
          <w:sz w:val="21"/>
          <w:szCs w:val="21"/>
          <w:highlight w:val="none"/>
        </w:rPr>
        <w:t>》</w:t>
      </w:r>
      <w:r>
        <w:rPr>
          <w:rFonts w:hint="eastAsia" w:asciiTheme="minorEastAsia" w:hAnsiTheme="minorEastAsia" w:eastAsiaTheme="minorEastAsia"/>
          <w:szCs w:val="21"/>
        </w:rPr>
        <w:t>的或未按约定支付首期租金、履约保证金和交易服务费的；</w:t>
      </w:r>
    </w:p>
    <w:p>
      <w:pPr>
        <w:spacing w:line="24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lang w:eastAsia="zh-CN"/>
        </w:rPr>
        <w:t>承租</w:t>
      </w:r>
      <w:r>
        <w:rPr>
          <w:rFonts w:asciiTheme="minorEastAsia" w:hAnsiTheme="minorEastAsia" w:eastAsiaTheme="minorEastAsia"/>
          <w:szCs w:val="21"/>
        </w:rPr>
        <w:t>方未履行书面承诺事项的；</w:t>
      </w:r>
    </w:p>
    <w:p>
      <w:pPr>
        <w:spacing w:line="24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240" w:lineRule="auto"/>
        <w:rPr>
          <w:rFonts w:asciiTheme="minorEastAsia" w:hAnsiTheme="minorEastAsia" w:eastAsiaTheme="minorEastAsia"/>
          <w:szCs w:val="21"/>
        </w:rPr>
      </w:pP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w:t>
      </w:r>
      <w:r>
        <w:rPr>
          <w:rFonts w:hint="eastAsia" w:asciiTheme="minorEastAsia" w:hAnsiTheme="minorEastAsia" w:eastAsiaTheme="minorEastAsia"/>
          <w:szCs w:val="21"/>
          <w:lang w:eastAsia="zh-CN"/>
        </w:rPr>
        <w:t>承租</w:t>
      </w:r>
      <w:r>
        <w:rPr>
          <w:rFonts w:hint="eastAsia" w:asciiTheme="minorEastAsia" w:hAnsiTheme="minorEastAsia" w:eastAsiaTheme="minorEastAsia"/>
          <w:szCs w:val="21"/>
        </w:rPr>
        <w:t>方（签章）：</w:t>
      </w:r>
    </w:p>
    <w:p>
      <w:pPr>
        <w:spacing w:line="24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143D8A"/>
    <w:rsid w:val="0020310B"/>
    <w:rsid w:val="002278BB"/>
    <w:rsid w:val="002526A0"/>
    <w:rsid w:val="00255411"/>
    <w:rsid w:val="00274544"/>
    <w:rsid w:val="003229C2"/>
    <w:rsid w:val="003A2F6F"/>
    <w:rsid w:val="003E079C"/>
    <w:rsid w:val="00413930"/>
    <w:rsid w:val="00430675"/>
    <w:rsid w:val="004C246D"/>
    <w:rsid w:val="004D1B74"/>
    <w:rsid w:val="004E1479"/>
    <w:rsid w:val="004E3107"/>
    <w:rsid w:val="004F3BEF"/>
    <w:rsid w:val="00503879"/>
    <w:rsid w:val="0055051A"/>
    <w:rsid w:val="00627BE3"/>
    <w:rsid w:val="00662215"/>
    <w:rsid w:val="00737286"/>
    <w:rsid w:val="007847DD"/>
    <w:rsid w:val="00790D21"/>
    <w:rsid w:val="007E4EDD"/>
    <w:rsid w:val="0084282E"/>
    <w:rsid w:val="00884F8A"/>
    <w:rsid w:val="008D72E8"/>
    <w:rsid w:val="00906FAC"/>
    <w:rsid w:val="00934A3A"/>
    <w:rsid w:val="0096235F"/>
    <w:rsid w:val="009733B3"/>
    <w:rsid w:val="009F646A"/>
    <w:rsid w:val="00A11F15"/>
    <w:rsid w:val="00A17388"/>
    <w:rsid w:val="00A24DD0"/>
    <w:rsid w:val="00A53E81"/>
    <w:rsid w:val="00A96775"/>
    <w:rsid w:val="00AA4243"/>
    <w:rsid w:val="00AF7180"/>
    <w:rsid w:val="00B15A11"/>
    <w:rsid w:val="00B170BB"/>
    <w:rsid w:val="00B36433"/>
    <w:rsid w:val="00B91182"/>
    <w:rsid w:val="00B923AA"/>
    <w:rsid w:val="00C02F3D"/>
    <w:rsid w:val="00C07B7D"/>
    <w:rsid w:val="00C2125E"/>
    <w:rsid w:val="00C300A5"/>
    <w:rsid w:val="00C80243"/>
    <w:rsid w:val="00C85BC7"/>
    <w:rsid w:val="00CB5B8C"/>
    <w:rsid w:val="00D5688F"/>
    <w:rsid w:val="00D56D57"/>
    <w:rsid w:val="00E00E55"/>
    <w:rsid w:val="00E60BD5"/>
    <w:rsid w:val="00ED4E9F"/>
    <w:rsid w:val="00EF62AF"/>
    <w:rsid w:val="00F06BEC"/>
    <w:rsid w:val="00F47654"/>
    <w:rsid w:val="00FA0343"/>
    <w:rsid w:val="00FA6AB7"/>
    <w:rsid w:val="015952F6"/>
    <w:rsid w:val="01796719"/>
    <w:rsid w:val="0279645F"/>
    <w:rsid w:val="02EB7464"/>
    <w:rsid w:val="03A523CA"/>
    <w:rsid w:val="04273FE8"/>
    <w:rsid w:val="05474BCA"/>
    <w:rsid w:val="06403643"/>
    <w:rsid w:val="06565574"/>
    <w:rsid w:val="06FF3E8A"/>
    <w:rsid w:val="0739342F"/>
    <w:rsid w:val="09377722"/>
    <w:rsid w:val="0A514DBC"/>
    <w:rsid w:val="0BBE3E04"/>
    <w:rsid w:val="0C455BB9"/>
    <w:rsid w:val="0DF647A0"/>
    <w:rsid w:val="0F423341"/>
    <w:rsid w:val="10346095"/>
    <w:rsid w:val="10E20B40"/>
    <w:rsid w:val="11561F17"/>
    <w:rsid w:val="122D5A9B"/>
    <w:rsid w:val="15B80C26"/>
    <w:rsid w:val="166533E4"/>
    <w:rsid w:val="17DF339A"/>
    <w:rsid w:val="184410B8"/>
    <w:rsid w:val="18AB29E5"/>
    <w:rsid w:val="1A4B5000"/>
    <w:rsid w:val="1AE30C41"/>
    <w:rsid w:val="1D772D50"/>
    <w:rsid w:val="1E2E20E9"/>
    <w:rsid w:val="1E570CAC"/>
    <w:rsid w:val="1E867034"/>
    <w:rsid w:val="1E9C785A"/>
    <w:rsid w:val="1EC62F0A"/>
    <w:rsid w:val="2164102D"/>
    <w:rsid w:val="21D62F05"/>
    <w:rsid w:val="224C47AB"/>
    <w:rsid w:val="22EF036A"/>
    <w:rsid w:val="235A0D1F"/>
    <w:rsid w:val="23692D78"/>
    <w:rsid w:val="25677B0B"/>
    <w:rsid w:val="258432D6"/>
    <w:rsid w:val="25CF0E14"/>
    <w:rsid w:val="25D72BEF"/>
    <w:rsid w:val="261256F5"/>
    <w:rsid w:val="26176E7E"/>
    <w:rsid w:val="261B6EAF"/>
    <w:rsid w:val="273E55C5"/>
    <w:rsid w:val="280C6FF3"/>
    <w:rsid w:val="29831BA4"/>
    <w:rsid w:val="29A37426"/>
    <w:rsid w:val="29AC0889"/>
    <w:rsid w:val="2A7A57A9"/>
    <w:rsid w:val="2A7E3585"/>
    <w:rsid w:val="2AC97973"/>
    <w:rsid w:val="2C5B5AFF"/>
    <w:rsid w:val="2C993CF8"/>
    <w:rsid w:val="2CFC5EAB"/>
    <w:rsid w:val="2D095E73"/>
    <w:rsid w:val="2D462264"/>
    <w:rsid w:val="2EF16AF3"/>
    <w:rsid w:val="31831344"/>
    <w:rsid w:val="31A85707"/>
    <w:rsid w:val="31C10B20"/>
    <w:rsid w:val="32824EDB"/>
    <w:rsid w:val="34705D86"/>
    <w:rsid w:val="34B343DA"/>
    <w:rsid w:val="37200BEA"/>
    <w:rsid w:val="37347390"/>
    <w:rsid w:val="37A200AC"/>
    <w:rsid w:val="380B12B2"/>
    <w:rsid w:val="384E2216"/>
    <w:rsid w:val="38CB4108"/>
    <w:rsid w:val="38DD4350"/>
    <w:rsid w:val="39E9751C"/>
    <w:rsid w:val="3A4574B2"/>
    <w:rsid w:val="3A63048C"/>
    <w:rsid w:val="3AC218E1"/>
    <w:rsid w:val="3B2E3F4D"/>
    <w:rsid w:val="3B872449"/>
    <w:rsid w:val="3C2C0B99"/>
    <w:rsid w:val="3CB624B8"/>
    <w:rsid w:val="3D8B21D4"/>
    <w:rsid w:val="3D8D11E6"/>
    <w:rsid w:val="3E366EA5"/>
    <w:rsid w:val="3F6A50BE"/>
    <w:rsid w:val="3F7A371C"/>
    <w:rsid w:val="3FBE2690"/>
    <w:rsid w:val="3FFD00BF"/>
    <w:rsid w:val="40FE57EE"/>
    <w:rsid w:val="41266D89"/>
    <w:rsid w:val="414F26D9"/>
    <w:rsid w:val="4305016E"/>
    <w:rsid w:val="450A38F6"/>
    <w:rsid w:val="459A4A97"/>
    <w:rsid w:val="464723B1"/>
    <w:rsid w:val="479E5897"/>
    <w:rsid w:val="489A19EF"/>
    <w:rsid w:val="48D83DF3"/>
    <w:rsid w:val="49396F88"/>
    <w:rsid w:val="49927B74"/>
    <w:rsid w:val="4C4308FE"/>
    <w:rsid w:val="4D801570"/>
    <w:rsid w:val="4DD22F16"/>
    <w:rsid w:val="4F092F78"/>
    <w:rsid w:val="4F201E42"/>
    <w:rsid w:val="4FBC2F5F"/>
    <w:rsid w:val="52212BBB"/>
    <w:rsid w:val="54130175"/>
    <w:rsid w:val="54AC0761"/>
    <w:rsid w:val="5502046E"/>
    <w:rsid w:val="57576ED8"/>
    <w:rsid w:val="57E43E5E"/>
    <w:rsid w:val="580A29D8"/>
    <w:rsid w:val="58183713"/>
    <w:rsid w:val="58E27BEC"/>
    <w:rsid w:val="59A815C0"/>
    <w:rsid w:val="59BB5339"/>
    <w:rsid w:val="59C553D4"/>
    <w:rsid w:val="59D25817"/>
    <w:rsid w:val="5A721786"/>
    <w:rsid w:val="5C6F1AF2"/>
    <w:rsid w:val="5D0B1ACB"/>
    <w:rsid w:val="5F263445"/>
    <w:rsid w:val="5FE36DA4"/>
    <w:rsid w:val="60D41C1D"/>
    <w:rsid w:val="61AF798C"/>
    <w:rsid w:val="62D637DB"/>
    <w:rsid w:val="63DB45BE"/>
    <w:rsid w:val="63F50A4F"/>
    <w:rsid w:val="65BC6383"/>
    <w:rsid w:val="685936B8"/>
    <w:rsid w:val="69057392"/>
    <w:rsid w:val="6B3B2C71"/>
    <w:rsid w:val="6BEE766C"/>
    <w:rsid w:val="6C7E0522"/>
    <w:rsid w:val="6D490EB5"/>
    <w:rsid w:val="6DC2291F"/>
    <w:rsid w:val="6DE029CA"/>
    <w:rsid w:val="70681F34"/>
    <w:rsid w:val="71204A9C"/>
    <w:rsid w:val="744676DC"/>
    <w:rsid w:val="744E1347"/>
    <w:rsid w:val="752E7623"/>
    <w:rsid w:val="76E45562"/>
    <w:rsid w:val="77D53699"/>
    <w:rsid w:val="79944E61"/>
    <w:rsid w:val="7A54014C"/>
    <w:rsid w:val="7ADA7D76"/>
    <w:rsid w:val="7AE52BBB"/>
    <w:rsid w:val="7AFB73C0"/>
    <w:rsid w:val="7BA972A9"/>
    <w:rsid w:val="7D1767FA"/>
    <w:rsid w:val="7E5E1B1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6600"/>
      </w:tabs>
      <w:spacing w:line="360" w:lineRule="auto"/>
      <w:ind w:firstLine="420" w:firstLineChars="200"/>
    </w:pPr>
    <w:rPr>
      <w:rFonts w:hint="default" w:cs="Times New Roman"/>
      <w:sz w:val="24"/>
      <w:szCs w:val="22"/>
    </w:rPr>
  </w:style>
  <w:style w:type="paragraph" w:styleId="3">
    <w:name w:val="Body Text Indent"/>
    <w:basedOn w:val="1"/>
    <w:qFormat/>
    <w:uiPriority w:val="0"/>
    <w:pPr>
      <w:spacing w:after="120"/>
      <w:ind w:left="420" w:leftChars="200"/>
    </w:pPr>
  </w:style>
  <w:style w:type="paragraph" w:styleId="4">
    <w:name w:val="Body Text"/>
    <w:basedOn w:val="1"/>
    <w:next w:val="5"/>
    <w:qFormat/>
    <w:uiPriority w:val="99"/>
    <w:pPr>
      <w:spacing w:before="120" w:after="120" w:line="360" w:lineRule="auto"/>
      <w:ind w:firstLine="800" w:firstLineChars="200"/>
    </w:pPr>
    <w:rPr>
      <w:rFonts w:ascii="宋体" w:hAnsi="宋体"/>
      <w:lang w:val="zh-CN"/>
    </w:rPr>
  </w:style>
  <w:style w:type="paragraph" w:styleId="5">
    <w:name w:val="Body Text First Indent"/>
    <w:basedOn w:val="4"/>
    <w:next w:val="1"/>
    <w:qFormat/>
    <w:uiPriority w:val="99"/>
    <w:pPr>
      <w:ind w:firstLine="420" w:firstLineChars="100"/>
    </w:p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rFonts w:ascii="Times New Roman" w:hAnsi="Times New Roman" w:eastAsia="宋体" w:cs="Times New Roman"/>
      <w:sz w:val="18"/>
      <w:szCs w:val="18"/>
    </w:rPr>
  </w:style>
  <w:style w:type="character" w:customStyle="1" w:styleId="11">
    <w:name w:val="页脚 Char"/>
    <w:basedOn w:val="9"/>
    <w:link w:val="6"/>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paragraph" w:customStyle="1" w:styleId="13">
    <w:name w:val="HTML 预设格式 Char"/>
    <w:basedOn w:val="1"/>
    <w:qFormat/>
    <w:uiPriority w:val="0"/>
    <w:pPr>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160</Words>
  <Characters>912</Characters>
  <Lines>7</Lines>
  <Paragraphs>2</Paragraphs>
  <TotalTime>0</TotalTime>
  <ScaleCrop>false</ScaleCrop>
  <LinksUpToDate>false</LinksUpToDate>
  <CharactersWithSpaces>1070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HJS-CL</cp:lastModifiedBy>
  <dcterms:modified xsi:type="dcterms:W3CDTF">2024-12-25T04:43:09Z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29158A1A9DEA459280E109F073518BFF</vt:lpwstr>
  </property>
</Properties>
</file>