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承租杭州市滨江区湘云雅苑21-22号房屋5年租赁权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84631FD"/>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97E3E08"/>
    <w:rsid w:val="3AF6379A"/>
    <w:rsid w:val="3B103714"/>
    <w:rsid w:val="3B6738AB"/>
    <w:rsid w:val="3E714D02"/>
    <w:rsid w:val="3FF21887"/>
    <w:rsid w:val="434954AA"/>
    <w:rsid w:val="45962498"/>
    <w:rsid w:val="45D5187E"/>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DA83087"/>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 w:val="7FD1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2024-12-23T02:42:46Z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