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我方拟承租杭州市上城区庆秋弄9号蜻蜓车楼一层2号芯筒，二层2、4号芯筒租赁权（租期至2029年9月30日止），现做如下承诺：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w:t>
      </w:r>
      <w:bookmarkStart w:id="0" w:name="_GoBack"/>
      <w:bookmarkEnd w:id="0"/>
      <w:r>
        <w:rPr>
          <w:rFonts w:hint="eastAsia" w:asciiTheme="minorEastAsia" w:hAnsiTheme="minorEastAsia" w:eastAsiaTheme="minorEastAsia"/>
          <w:szCs w:val="21"/>
        </w:rPr>
        <w:t>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sz w:val="20"/>
          <w:szCs w:val="20"/>
          <w:highlight w:val="none"/>
        </w:rPr>
        <w:t>同意在被确定为承租方之日起3个工作日内携带报名时上传的主体资格证明等相关文件原件至杭交所完成现场确认和签署《成交通知书》、</w:t>
      </w:r>
      <w:r>
        <w:rPr>
          <w:rFonts w:hint="eastAsia" w:ascii="宋体" w:hAnsi="宋体"/>
          <w:sz w:val="20"/>
          <w:szCs w:val="20"/>
          <w:highlight w:val="none"/>
          <w:lang w:eastAsia="zh-CN"/>
        </w:rPr>
        <w:t>《蜻蜓车楼房屋租赁合同》</w:t>
      </w:r>
      <w:r>
        <w:rPr>
          <w:rFonts w:hint="eastAsia" w:ascii="宋体" w:hAnsi="宋体"/>
          <w:sz w:val="20"/>
          <w:szCs w:val="20"/>
          <w:highlight w:val="none"/>
        </w:rPr>
        <w:t>；并在《成交通知书》、</w:t>
      </w:r>
      <w:r>
        <w:rPr>
          <w:rFonts w:hint="eastAsia" w:ascii="宋体" w:hAnsi="宋体"/>
          <w:sz w:val="20"/>
          <w:szCs w:val="20"/>
          <w:highlight w:val="none"/>
          <w:lang w:eastAsia="zh-CN"/>
        </w:rPr>
        <w:t>《蜻蜓车楼房屋租赁合同》</w:t>
      </w:r>
      <w:r>
        <w:rPr>
          <w:rFonts w:hint="eastAsia" w:ascii="宋体" w:hAnsi="宋体"/>
          <w:sz w:val="20"/>
          <w:szCs w:val="20"/>
          <w:highlight w:val="none"/>
        </w:rPr>
        <w:t>签署之日起 5 个工作日内向杭交所资金监管账户一次性支付首期租金、履约保证金、</w:t>
      </w:r>
      <w:r>
        <w:rPr>
          <w:rFonts w:hint="eastAsia" w:ascii="宋体" w:hAnsi="宋体"/>
          <w:sz w:val="20"/>
          <w:szCs w:val="20"/>
          <w:highlight w:val="none"/>
          <w:lang w:val="en-US" w:eastAsia="zh-CN"/>
        </w:rPr>
        <w:t>装修保证金（人民币10万元）、</w:t>
      </w:r>
      <w:r>
        <w:rPr>
          <w:rFonts w:hint="eastAsia" w:ascii="宋体" w:hAnsi="宋体"/>
          <w:sz w:val="20"/>
          <w:szCs w:val="20"/>
          <w:highlight w:val="none"/>
        </w:rPr>
        <w:t>交易服务费等交易资金（以到账时间为准）。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4、若我方成为承租方，我方已知悉并同意：同意杭交所在经出租方申请之日起3个工作日内将承租方已交纳的履约保证金、装修保证金、首期租金划转至出租方指定账户。</w:t>
      </w:r>
    </w:p>
    <w:p>
      <w:pPr>
        <w:spacing w:line="336" w:lineRule="auto"/>
        <w:ind w:firstLine="420" w:firstLineChars="200"/>
        <w:rPr>
          <w:rFonts w:hint="eastAsia" w:ascii="宋体" w:hAnsi="宋体" w:eastAsiaTheme="minorEastAsia"/>
          <w:sz w:val="20"/>
          <w:szCs w:val="20"/>
          <w:highlight w:val="none"/>
          <w:lang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 w:val="20"/>
          <w:szCs w:val="20"/>
          <w:highlight w:val="none"/>
          <w:lang w:val="en-US" w:eastAsia="zh-CN"/>
        </w:rPr>
        <w:t>本次租赁房屋性质为管理用房，出租方</w:t>
      </w:r>
      <w:r>
        <w:rPr>
          <w:rFonts w:hint="eastAsia" w:ascii="宋体" w:hAnsi="宋体"/>
          <w:sz w:val="20"/>
          <w:szCs w:val="20"/>
          <w:highlight w:val="none"/>
        </w:rPr>
        <w:t>对本次租赁的业态要求仅系按照整体经营目标设定，不构成</w:t>
      </w:r>
      <w:r>
        <w:rPr>
          <w:rFonts w:hint="eastAsia" w:ascii="宋体" w:hAnsi="宋体"/>
          <w:sz w:val="20"/>
          <w:szCs w:val="20"/>
          <w:highlight w:val="none"/>
          <w:lang w:val="en-US" w:eastAsia="zh-CN"/>
        </w:rPr>
        <w:t>出租方</w:t>
      </w:r>
      <w:r>
        <w:rPr>
          <w:rFonts w:hint="eastAsia" w:ascii="宋体" w:hAnsi="宋体"/>
          <w:sz w:val="20"/>
          <w:szCs w:val="20"/>
          <w:highlight w:val="none"/>
        </w:rPr>
        <w:t>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如因租赁房屋（性质）用途与租赁用途不一致而需要办理相关审批手续的，由承租方自行负责办理，</w:t>
      </w:r>
      <w:r>
        <w:rPr>
          <w:rFonts w:hint="eastAsia" w:ascii="宋体" w:hAnsi="宋体"/>
          <w:sz w:val="20"/>
          <w:szCs w:val="20"/>
          <w:highlight w:val="none"/>
          <w:lang w:val="en-US" w:eastAsia="zh-CN"/>
        </w:rPr>
        <w:t>出租方</w:t>
      </w:r>
      <w:r>
        <w:rPr>
          <w:rFonts w:hint="eastAsia" w:ascii="宋体" w:hAnsi="宋体"/>
          <w:sz w:val="20"/>
          <w:szCs w:val="20"/>
          <w:highlight w:val="none"/>
        </w:rPr>
        <w:t>予以协助，但</w:t>
      </w:r>
      <w:r>
        <w:rPr>
          <w:rFonts w:hint="eastAsia" w:ascii="宋体" w:hAnsi="宋体"/>
          <w:sz w:val="20"/>
          <w:szCs w:val="20"/>
          <w:highlight w:val="none"/>
          <w:lang w:val="en-US" w:eastAsia="zh-CN"/>
        </w:rPr>
        <w:t>出租方</w:t>
      </w:r>
      <w:r>
        <w:rPr>
          <w:rFonts w:hint="eastAsia" w:ascii="宋体" w:hAnsi="宋体"/>
          <w:sz w:val="20"/>
          <w:szCs w:val="20"/>
          <w:highlight w:val="none"/>
        </w:rPr>
        <w:t>不作任何保证。承租方应充分了解上述情况，由此无法办理相关登记及其他行政审批等相关手续，承租方如有损失自行承担，</w:t>
      </w:r>
      <w:r>
        <w:rPr>
          <w:rFonts w:hint="eastAsia" w:ascii="宋体" w:hAnsi="宋体"/>
          <w:sz w:val="20"/>
          <w:szCs w:val="20"/>
          <w:highlight w:val="none"/>
          <w:lang w:val="en-US" w:eastAsia="zh-CN"/>
        </w:rPr>
        <w:t>出租方</w:t>
      </w:r>
      <w:r>
        <w:rPr>
          <w:rFonts w:hint="eastAsia" w:ascii="宋体" w:hAnsi="宋体"/>
          <w:sz w:val="20"/>
          <w:szCs w:val="20"/>
          <w:highlight w:val="none"/>
        </w:rPr>
        <w:t>、杭交所不承担任何责任。本次涉及任何经营证照的办理费用由承租方自行承担。</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明确知悉并接受房屋的规划用途、土地性质、产权情况等限制条件，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承租方必须依法合规从事经营活动，不得发生对出租方或该物业区域的商誉及声誉有不良影响的行为，特别是不得涉及毒品及其他法律禁止经营的事项，不得利用该物业从事违法或有毒放射性等高危活动，不得携带或储存有危险、易燃、易爆、违禁等物品。</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租赁期内，未经出租方书面同意，承租方不得单方面改变经营业态，也不得对所租赁的物业进行转让、转包、分租、转租（未经出租方书面认可的联营、合伙、合股等均视为转租等擅自实施的行为），或者以互换、借用等形式允许任何第三人使用，乙方不得利用承租场地、设施或经营条件进行融资、抵押等金融活动。</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若我方成为承租方，我方已知悉并同意：承租方未经出租方事先的书面同意而改变租赁场所的用途，或在租赁场所内从事违法经营或其他非法行为。</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承租方独立使用的水、电(含承租方独立使用的室外广告、泛光照明等用电)、燃气、热力(采暖)等费用由承租方自行承担，每月结算一次，承租方在下个结算周期开始后5日内支付给出租方上个周期各项能耗费。</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若我方成为承租方，我方已知悉并同意：出租方与承租方的权利义务及房屋交付具体以出租方提供的《蜻蜓车楼房屋租赁合同》（样本）为准。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本次交易有二个及以上意向承租方报名且成交的，承租方须缴纳按首年一个月租金计取的交易服务费；（2）本次交易只有一位意向承租方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杭州企业产权交易中心有限公司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（3）在被确定为承租方后未按约定签署《成交通知书》、《蜻蜓车楼房屋租赁合同》的或未按约定支付交易服务费、履约保证金、装修保证金和首期租金的；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0F104A"/>
    <w:rsid w:val="0FEC78F6"/>
    <w:rsid w:val="117612B0"/>
    <w:rsid w:val="13B849C4"/>
    <w:rsid w:val="14C2507C"/>
    <w:rsid w:val="16AB7043"/>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5F94112"/>
    <w:rsid w:val="494F753A"/>
    <w:rsid w:val="4AFF3DA7"/>
    <w:rsid w:val="4CC66179"/>
    <w:rsid w:val="4E0013D2"/>
    <w:rsid w:val="4EF829E8"/>
    <w:rsid w:val="51317EBA"/>
    <w:rsid w:val="52C93621"/>
    <w:rsid w:val="54E742B4"/>
    <w:rsid w:val="55F6694A"/>
    <w:rsid w:val="563F5F26"/>
    <w:rsid w:val="5687200B"/>
    <w:rsid w:val="56EE2F1F"/>
    <w:rsid w:val="584668FF"/>
    <w:rsid w:val="590122F3"/>
    <w:rsid w:val="5A0A51C8"/>
    <w:rsid w:val="5DB959AE"/>
    <w:rsid w:val="5E0F1804"/>
    <w:rsid w:val="605F317E"/>
    <w:rsid w:val="606A72C7"/>
    <w:rsid w:val="61E23E11"/>
    <w:rsid w:val="633A51EB"/>
    <w:rsid w:val="657C12B1"/>
    <w:rsid w:val="66AB1603"/>
    <w:rsid w:val="66F30663"/>
    <w:rsid w:val="68026233"/>
    <w:rsid w:val="6804343D"/>
    <w:rsid w:val="6A2F474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2024-12-20T06:50:19Z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