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441081">
      <w:pPr>
        <w:autoSpaceDE w:val="0"/>
        <w:autoSpaceDN w:val="0"/>
        <w:adjustRightInd w:val="0"/>
        <w:snapToGrid w:val="0"/>
        <w:spacing w:line="560" w:lineRule="exact"/>
        <w:jc w:val="left"/>
        <w:rPr>
          <w:rFonts w:ascii="仿宋_GB2312" w:eastAsia="仿宋_GB2312"/>
          <w:sz w:val="32"/>
          <w:szCs w:val="32"/>
        </w:rPr>
      </w:pPr>
      <w:r>
        <w:rPr>
          <w:rFonts w:hint="eastAsia" w:ascii="仿宋_GB2312" w:eastAsia="仿宋_GB2312"/>
          <w:sz w:val="32"/>
          <w:szCs w:val="32"/>
        </w:rPr>
        <w:t xml:space="preserve"> </w:t>
      </w:r>
      <w:r>
        <w:rPr>
          <w:rFonts w:ascii="仿宋_GB2312" w:eastAsia="仿宋_GB2312"/>
          <w:sz w:val="32"/>
          <w:szCs w:val="32"/>
        </w:rPr>
        <w:t xml:space="preserve"> </w:t>
      </w:r>
    </w:p>
    <w:p w14:paraId="6339E9B8">
      <w:pPr>
        <w:autoSpaceDE w:val="0"/>
        <w:autoSpaceDN w:val="0"/>
        <w:adjustRightInd w:val="0"/>
        <w:snapToGrid w:val="0"/>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蜻蜓车楼房屋租赁合同（</w:t>
      </w:r>
      <w:r>
        <w:rPr>
          <w:rFonts w:hint="eastAsia" w:ascii="宋体" w:hAnsi="宋体" w:eastAsia="宋体" w:cs="宋体"/>
          <w:sz w:val="44"/>
          <w:szCs w:val="44"/>
        </w:rPr>
        <w:t>初</w:t>
      </w:r>
      <w:r>
        <w:rPr>
          <w:rFonts w:hint="eastAsia" w:ascii="方正小标宋_GBK" w:hAnsi="方正小标宋_GBK" w:eastAsia="方正小标宋_GBK" w:cs="方正小标宋_GBK"/>
          <w:sz w:val="44"/>
          <w:szCs w:val="44"/>
        </w:rPr>
        <w:t>稿）</w:t>
      </w:r>
    </w:p>
    <w:p w14:paraId="3FC83546">
      <w:pPr>
        <w:spacing w:line="560" w:lineRule="exact"/>
        <w:rPr>
          <w:rFonts w:hint="eastAsia" w:ascii="仿宋_GB2312" w:hAnsi="仿宋_GB2312" w:eastAsia="仿宋_GB2312" w:cs="仿宋_GB2312"/>
          <w:sz w:val="32"/>
          <w:szCs w:val="32"/>
        </w:rPr>
      </w:pPr>
    </w:p>
    <w:p w14:paraId="7EB09AD0">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甲方（出租方）：</w:t>
      </w:r>
    </w:p>
    <w:p w14:paraId="58301C5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
    <w:p w14:paraId="48BC1C5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
    <w:p w14:paraId="7397C3D7">
      <w:pPr>
        <w:spacing w:line="560" w:lineRule="exact"/>
        <w:rPr>
          <w:rFonts w:hint="eastAsia" w:ascii="仿宋_GB2312" w:hAnsi="仿宋_GB2312" w:eastAsia="仿宋_GB2312" w:cs="仿宋_GB2312"/>
          <w:sz w:val="32"/>
          <w:szCs w:val="32"/>
        </w:rPr>
      </w:pPr>
    </w:p>
    <w:p w14:paraId="2040FC94">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乙方（承租方）：</w:t>
      </w:r>
    </w:p>
    <w:p w14:paraId="78267BC6">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
    <w:p w14:paraId="77675C1A">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电话：  </w:t>
      </w:r>
    </w:p>
    <w:p w14:paraId="53455757">
      <w:pPr>
        <w:spacing w:line="560" w:lineRule="exact"/>
        <w:rPr>
          <w:rFonts w:hint="eastAsia" w:ascii="仿宋_GB2312" w:hAnsi="仿宋_GB2312" w:eastAsia="仿宋_GB2312" w:cs="仿宋_GB2312"/>
          <w:sz w:val="32"/>
          <w:szCs w:val="32"/>
        </w:rPr>
      </w:pPr>
    </w:p>
    <w:p w14:paraId="2634953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甲乙双方本着自愿、平等、公平和诚实信用原则，经过充分友好协商，签订如下合同，以兹共同遵守。</w:t>
      </w:r>
    </w:p>
    <w:p w14:paraId="4A4D85C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第一条 出租物业与年限</w:t>
      </w:r>
    </w:p>
    <w:p w14:paraId="1B11BD2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1.甲方同意将杭州市上城区庆秋弄9号蜻蜓车楼一层2号芯筒，二层2、4号芯筒，面积约</w:t>
      </w:r>
      <w:r>
        <w:rPr>
          <w:rFonts w:hint="eastAsia" w:ascii="仿宋_GB2312" w:hAnsi="仿宋_GB2312" w:eastAsia="仿宋_GB2312" w:cs="仿宋_GB2312"/>
          <w:sz w:val="32"/>
          <w:szCs w:val="32"/>
          <w:u w:val="single"/>
        </w:rPr>
        <w:t>561.4</w:t>
      </w:r>
      <w:r>
        <w:rPr>
          <w:rFonts w:hint="eastAsia" w:ascii="仿宋_GB2312" w:hAnsi="仿宋_GB2312" w:eastAsia="仿宋_GB2312" w:cs="仿宋_GB2312"/>
          <w:sz w:val="32"/>
          <w:szCs w:val="32"/>
        </w:rPr>
        <w:t>平方米（以图示为准）（详见附件）出租给乙方，允许乙方开展</w:t>
      </w:r>
      <w:r>
        <w:rPr>
          <w:rFonts w:hint="eastAsia" w:ascii="仿宋_GB2312" w:hAnsi="仿宋_GB2312" w:eastAsia="仿宋_GB2312" w:cs="仿宋_GB2312"/>
          <w:sz w:val="32"/>
          <w:szCs w:val="32"/>
          <w:u w:val="single"/>
        </w:rPr>
        <w:t>集市、露营</w:t>
      </w:r>
      <w:r>
        <w:rPr>
          <w:rFonts w:ascii="仿宋_GB2312" w:hAnsi="仿宋_GB2312" w:eastAsia="仿宋_GB2312" w:cs="仿宋_GB2312"/>
          <w:sz w:val="32"/>
          <w:szCs w:val="32"/>
          <w:u w:val="single"/>
        </w:rPr>
        <w:t>、轻</w:t>
      </w:r>
      <w:r>
        <w:rPr>
          <w:rFonts w:hint="eastAsia" w:ascii="仿宋_GB2312" w:hAnsi="仿宋_GB2312" w:eastAsia="仿宋_GB2312" w:cs="仿宋_GB2312"/>
          <w:sz w:val="32"/>
          <w:szCs w:val="32"/>
          <w:u w:val="single"/>
        </w:rPr>
        <w:t>餐、展厅</w:t>
      </w:r>
      <w:r>
        <w:rPr>
          <w:rFonts w:ascii="仿宋_GB2312" w:hAnsi="仿宋_GB2312" w:eastAsia="仿宋_GB2312" w:cs="仿宋_GB2312"/>
          <w:sz w:val="32"/>
          <w:szCs w:val="32"/>
          <w:u w:val="single"/>
        </w:rPr>
        <w:t>展览</w:t>
      </w:r>
      <w:r>
        <w:rPr>
          <w:rFonts w:hint="eastAsia" w:ascii="仿宋_GB2312" w:hAnsi="仿宋_GB2312" w:eastAsia="仿宋_GB2312" w:cs="仿宋_GB2312"/>
          <w:sz w:val="32"/>
          <w:szCs w:val="32"/>
          <w:u w:val="single"/>
        </w:rPr>
        <w:t>、潮玩、咖啡茶饮、城市音乐会、城市文创平台</w:t>
      </w:r>
      <w:r>
        <w:rPr>
          <w:rFonts w:hint="eastAsia" w:ascii="仿宋_GB2312" w:hAnsi="仿宋_GB2312" w:eastAsia="仿宋_GB2312" w:cs="仿宋_GB2312"/>
          <w:sz w:val="32"/>
          <w:szCs w:val="32"/>
        </w:rPr>
        <w:t>等业态</w:t>
      </w:r>
      <w:bookmarkStart w:id="2" w:name="_GoBack"/>
      <w:bookmarkEnd w:id="2"/>
      <w:r>
        <w:rPr>
          <w:rFonts w:hint="eastAsia" w:ascii="仿宋_GB2312" w:hAnsi="仿宋_GB2312" w:eastAsia="仿宋_GB2312" w:cs="仿宋_GB2312"/>
          <w:sz w:val="32"/>
          <w:szCs w:val="32"/>
        </w:rPr>
        <w:t>。另外二层1号芯筒、负一层公共区域、屋顶等区域可供乙方使用，由甲方确认具体使用范围，且出租期内，甲方具有以上区域的使用权，乙方在以上区域内改造、经营业态、日常活动等，需服从甲方管理，如因乙方行为造成的损失，甲方不承担责任。乙方如需调整经营业态，须经甲方书面同意。乙方已确认甲方提供的物业的规划用途、物业现状符合乙方使用用途或经营需要，乙方应当自行办理经营所需的包括但不限于消防检查、营业执照等行政审批手续，不得以规划用途不符、未取得行政审批手续等理由拒绝支付场地使用费等各项费用或单方解除合同。如因乙方使用用途与物业的规划用途不一致或场地现状无法满足乙方经营需要而产生的责任、损失及费用由乙方自行承担。此外，蜻蜓车楼二层1号芯筒为24个车位，双方按车位租赁市场价另行签订《停车场车位租赁合同》。</w:t>
      </w:r>
    </w:p>
    <w:p w14:paraId="12920179">
      <w:pPr>
        <w:widowControl/>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2.租赁期限自</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日至</w:t>
      </w:r>
      <w:r>
        <w:rPr>
          <w:rFonts w:hint="eastAsia" w:ascii="仿宋_GB2312" w:hAnsi="仿宋_GB2312" w:eastAsia="仿宋_GB2312" w:cs="仿宋_GB2312"/>
          <w:sz w:val="32"/>
          <w:szCs w:val="32"/>
          <w:u w:val="single"/>
        </w:rPr>
        <w:t>2029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9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30 </w:t>
      </w:r>
      <w:r>
        <w:rPr>
          <w:rFonts w:hint="eastAsia" w:ascii="仿宋_GB2312" w:hAnsi="仿宋_GB2312" w:eastAsia="仿宋_GB2312" w:cs="仿宋_GB2312"/>
          <w:sz w:val="32"/>
          <w:szCs w:val="32"/>
        </w:rPr>
        <w:t>日止。以交付场地之日起记为起租日，免租期为4个月，通过两次支付周期来兑现，依次为首次租金支付含免租期2个月，第二次租金支付含免租期2个月。</w:t>
      </w:r>
      <w:r>
        <w:rPr>
          <w:rFonts w:hint="eastAsia" w:ascii="仿宋_GB2312" w:hAnsi="仿宋_GB2312" w:eastAsia="仿宋_GB2312" w:cs="仿宋_GB2312"/>
          <w:b/>
          <w:bCs/>
          <w:sz w:val="32"/>
          <w:szCs w:val="32"/>
        </w:rPr>
        <w:t>交付书详见附件</w:t>
      </w:r>
      <w:r>
        <w:rPr>
          <w:rFonts w:hint="eastAsia" w:ascii="仿宋_GB2312" w:hAnsi="仿宋_GB2312" w:eastAsia="仿宋_GB2312" w:cs="仿宋_GB2312"/>
          <w:sz w:val="32"/>
          <w:szCs w:val="32"/>
        </w:rPr>
        <w:t>。</w:t>
      </w:r>
    </w:p>
    <w:p w14:paraId="064F27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如需使用本合同租赁范围以外物业与资源，需与甲方沟通协商使用条件，并由乙方支付相关费用（合约结束后进行复原），包括但不限于停车位、广告等。乙方因经营需要需对甲方物业或资源进行改造，需经甲方书面同意，并按照政府的相关规定与要求办理手续，产生的一切费用与改造产生的任何后果均由乙方承担。在租赁期限内，乙方有权根据其正常经营需要使用区域内的公共设施，包括但不限于楼梯、通道等，但甲方及物业管理单位有权根据实际情况对公共部分的使用予以合理的临时限制。</w:t>
      </w:r>
    </w:p>
    <w:p w14:paraId="25BC30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该物业的现有装修及设施情况即为交付状态，由双方在场地交付手续中加以列明；乙方已经实际查看了解该物业的现有装修及设施情况，认可其满足约定的交付条件。除双方另有约定，该附件将作为乙方在本合同终止后交还该物业时的验收依据。</w:t>
      </w:r>
    </w:p>
    <w:p w14:paraId="3F8E305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第二条 物业用途</w:t>
      </w:r>
    </w:p>
    <w:p w14:paraId="4CE113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1.基于合同约定的经营业态，如涉及包括但不限于排污、环评等手续需由乙方按照政府的相关规定与要求办理，产生的费用与改造产生的结果由乙方承担。</w:t>
      </w:r>
    </w:p>
    <w:p w14:paraId="71B15CA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2.甲方为蜻蜓·公园 DRAGONFLY PARK商标及著作权权利人，承租期内乙方若需使用，应获得甲方授权。乙方须提供包括客源、运营方式策略和运营资源相关的引流方案，以提升蜻蜓公园IP的市场影响力。</w:t>
      </w:r>
    </w:p>
    <w:p w14:paraId="3C3C92D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3.乙方应当在开业前取得营业执照及相关的各类经营许可证，甲方协助乙方办理关于该物业经营所需证照，由于乙方无证无照经营行为造成甲方或第三方损失的，乙方应全额赔偿。</w:t>
      </w:r>
    </w:p>
    <w:p w14:paraId="7ADB0F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乙方必须依法合规从事经营活动，不得发生对甲方或该物业区域的商誉及声誉有不良影响的行为，特别是不得涉及毒品及其他法律禁止经营的事项，不得利用该物业从事违法或有毒放射性等高危活动，不得携带或储存有危险、易燃、易爆、违禁等物品，否则视同违约，甲方有权立即解除本合同、收回该物业并没收乙方保证金，因此造成的一切损失由乙方负责。</w:t>
      </w:r>
    </w:p>
    <w:p w14:paraId="40F2C00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5.乙方在该物业内不得销售假冒伪劣商品、违禁物品、侵犯他人商标权或知识产权，或进行其他违反法律、法规及规定的行为。</w:t>
      </w:r>
    </w:p>
    <w:p w14:paraId="3BBD4C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6.乙方有义务负责保养该物业内部甲方提供给乙方使用的设施设备，且一切费用由乙方负责。因维修、保养、使用不当而造成设施损坏及其他损失的，由乙方负责赔偿。</w:t>
      </w:r>
    </w:p>
    <w:p w14:paraId="682B6A7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本合同签订后，乙方在该物业注册成立新公司，需征得甲方同意。乙方应保证该新公司确认并遵守本合同的全部约定，本合同中确定的乙方权利义务在该新公司成立后全部由该公司承担，甲方、乙方及乙方注册变更后的该新公司双方应该及时签署相应的变更协议，乙方作为本合同的担保人，对该公司在本合同项下的全部责任和义务承担连带责任保证担保。担保范围为该新公司因本合同项下产生的对甲方所有的义务与责任，包括但不限于租金、各种费用、违约金、赔偿金、甲方实现债权的费用（包括诉讼费用、律师费用、公派费用、执行费用等）、因该新公司违约而给甲方造成的损失和其他所有应付费用。担保期限为自租赁合同签订之日起至租赁合同期满后满三年止。如该新公司拒绝确认的，则甲方有权立即解除本合同、收回房屋、并采取断水、断电等措施，没收乙方已付全部保证金及租金，并按乙方违约追究违约责任。</w:t>
      </w:r>
    </w:p>
    <w:p w14:paraId="64A02D05">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第三条 装修期及装修保证金</w:t>
      </w:r>
    </w:p>
    <w:p w14:paraId="6FEC183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1.乙方须在装修进场前支付甲方装修保证金</w:t>
      </w:r>
      <w:r>
        <w:rPr>
          <w:rFonts w:hint="eastAsia" w:ascii="仿宋_GB2312" w:hAnsi="仿宋_GB2312" w:eastAsia="仿宋_GB2312" w:cs="仿宋_GB2312"/>
          <w:sz w:val="32"/>
          <w:szCs w:val="32"/>
          <w:u w:val="single"/>
        </w:rPr>
        <w:t>10</w:t>
      </w:r>
      <w:r>
        <w:rPr>
          <w:rFonts w:hint="eastAsia" w:ascii="仿宋_GB2312" w:hAnsi="仿宋_GB2312" w:eastAsia="仿宋_GB2312" w:cs="仿宋_GB2312"/>
          <w:sz w:val="32"/>
          <w:szCs w:val="32"/>
        </w:rPr>
        <w:t>万元，</w:t>
      </w:r>
      <w:r>
        <w:rPr>
          <w:rFonts w:hint="eastAsia" w:ascii="仿宋_GB2312" w:eastAsia="仿宋_GB2312" w:hAnsiTheme="minorEastAsia" w:cstheme="minorEastAsia"/>
          <w:sz w:val="32"/>
          <w:szCs w:val="32"/>
        </w:rPr>
        <w:t>由乙方在本合同签订之日起5个工作日内支付至甲方指定账户。</w:t>
      </w:r>
      <w:r>
        <w:rPr>
          <w:rFonts w:hint="eastAsia" w:ascii="仿宋_GB2312" w:hAnsi="仿宋_GB2312" w:eastAsia="仿宋_GB2312" w:cs="仿宋_GB2312"/>
          <w:sz w:val="32"/>
          <w:szCs w:val="32"/>
        </w:rPr>
        <w:t>乙方在进场装修前，需将装修改造方案报甲方审批通过后，再进行相关政府部门审批，通过后方可进场改造装修。乙方根据审批通过的装修方案进行物业改造装修，改造完成需先通过政府相关部门验收合格且装修期结束后，再通过甲方验收，验收通过后乙方提供相关验收合格证明文件给甲方，甲方将在收齐所有验收合格证明文件后的15个工作日内，全额无息退还装修保证金。</w:t>
      </w:r>
    </w:p>
    <w:p w14:paraId="4F6907E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2.装修期内，该租赁物业有关水、电、燃气、电话、电视、网络、物业管理费、垃圾清运费、停车费、能耗费等费用由乙方承担。乙方自行向甲方、业主、物业公司或相关部门支付。</w:t>
      </w:r>
    </w:p>
    <w:p w14:paraId="0B61561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装修过程中出现违规或者施工不当给甲方造成影响或损失的，甲方有权扣除乙方部分或全部装修保证金。甲方损失超过保证金的，乙方还应同时支付该部分差额；否则，甲方有权解除合同，收回物业，并有权追索相应损失。</w:t>
      </w:r>
    </w:p>
    <w:p w14:paraId="30300E5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第四条 租金、保证金及其他费用与支付方式</w:t>
      </w:r>
    </w:p>
    <w:p w14:paraId="3EA2E79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1.租金</w:t>
      </w:r>
    </w:p>
    <w:p w14:paraId="0A9C3AD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1.1乙方应按以下标准支付租金：</w:t>
      </w:r>
    </w:p>
    <w:p w14:paraId="268B1F6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首年租金底价合计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元</w:t>
      </w:r>
      <w:r>
        <w:rPr>
          <w:rFonts w:ascii="仿宋_GB2312" w:hAnsi="仿宋_GB2312" w:eastAsia="仿宋_GB2312" w:cs="仿宋_GB2312"/>
          <w:sz w:val="32"/>
          <w:szCs w:val="32"/>
        </w:rPr>
        <w:t>整</w:t>
      </w:r>
      <w:r>
        <w:rPr>
          <w:rFonts w:hint="eastAsia" w:ascii="仿宋_GB2312" w:hAnsi="仿宋_GB2312" w:eastAsia="仿宋_GB2312" w:cs="仿宋_GB2312"/>
          <w:sz w:val="32"/>
          <w:szCs w:val="32"/>
        </w:rPr>
        <w:t>，</w:t>
      </w:r>
      <w:r>
        <w:rPr>
          <w:rFonts w:hint="eastAsia" w:ascii="仿宋_GB2312" w:hAnsi="仿宋" w:eastAsia="仿宋_GB2312"/>
          <w:sz w:val="32"/>
          <w:szCs w:val="32"/>
        </w:rPr>
        <w:t>租金每年递增</w:t>
      </w:r>
      <w:r>
        <w:rPr>
          <w:rFonts w:ascii="Times New Roman Regular" w:hAnsi="Times New Roman Regular" w:eastAsia="仿宋_GB2312" w:cs="Times New Roman Regular"/>
          <w:sz w:val="32"/>
          <w:szCs w:val="32"/>
        </w:rPr>
        <w:t>2%</w:t>
      </w:r>
      <w:r>
        <w:rPr>
          <w:rFonts w:hint="eastAsia" w:ascii="Times New Roman Regular" w:hAnsi="Times New Roman Regular" w:eastAsia="仿宋_GB2312" w:cs="Times New Roman Regular"/>
          <w:sz w:val="32"/>
          <w:szCs w:val="32"/>
        </w:rPr>
        <w:t>。</w:t>
      </w:r>
    </w:p>
    <w:p w14:paraId="42409A9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本合同所约定的金额包含增值税金，甲方应在收取乙方支付的约定金额租金后，向乙方提供符合税务部门规定的增值税专用发票。</w:t>
      </w:r>
    </w:p>
    <w:p w14:paraId="437698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付款方式：租金先付后用，每半年支付一次。第一期租金在本合同签订之日起5个工作日内支付，此后的租金在上个付费周期届满日的30天前由乙方支付给甲方。上述租金并不包括乙方需交付的物业服务费、乙方经营活动而产生的政府税费及其他应由乙方支付的租金以外的费用（如水、电、电话费、垃圾清运费、停车费、能耗费等）。</w:t>
      </w:r>
    </w:p>
    <w:p w14:paraId="37D667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1.3甲方有义务保证租期内房屋公共区域的结构及设备可完善使用，但乙方不得以任何房屋缺陷问题（包括设施设备，装饰等）拖欠租金，严重影响乙方正常营业除外。</w:t>
      </w:r>
    </w:p>
    <w:p w14:paraId="37595F9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2.履约保证金</w:t>
      </w:r>
    </w:p>
    <w:p w14:paraId="7AB60E0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2.1履约保证金为</w:t>
      </w:r>
      <w:r>
        <w:rPr>
          <w:rFonts w:hint="eastAsia" w:ascii="仿宋_GB2312" w:hAnsi="仿宋_GB2312" w:eastAsia="仿宋_GB2312" w:cs="仿宋_GB2312"/>
          <w:sz w:val="32"/>
          <w:szCs w:val="32"/>
          <w:u w:val="single"/>
        </w:rPr>
        <w:t>15</w:t>
      </w:r>
      <w:r>
        <w:rPr>
          <w:rFonts w:hint="eastAsia" w:ascii="仿宋_GB2312" w:hAnsi="仿宋_GB2312" w:eastAsia="仿宋_GB2312" w:cs="仿宋_GB2312"/>
          <w:sz w:val="32"/>
          <w:szCs w:val="32"/>
        </w:rPr>
        <w:t>万元，</w:t>
      </w:r>
      <w:r>
        <w:rPr>
          <w:rFonts w:hint="eastAsia" w:ascii="仿宋_GB2312" w:eastAsia="仿宋_GB2312" w:hAnsiTheme="minorEastAsia" w:cstheme="minorEastAsia"/>
          <w:sz w:val="32"/>
          <w:szCs w:val="32"/>
        </w:rPr>
        <w:t>由乙方在本合同签订之日起5个工作日内支付至甲方指定账户。</w:t>
      </w:r>
    </w:p>
    <w:p w14:paraId="3546313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2.2乙方支付的履约保证金，该保证金不是乙方预付的租金、物业服务费，仅是乙方履行本合同约定的义务的担保。如乙方违反本合同的约定，甲方有权不予返还保证金或直接从该保证金中扣除相关费用。</w:t>
      </w:r>
    </w:p>
    <w:p w14:paraId="60DBB8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租赁期间，如乙方有违约行为，甲方要求乙方纠正该行为并赔偿甲方损失，而乙方拒不执行的，甲方有权直接用乙方向其交纳的保证金抵扣（不影响甲方对乙方该等行为可行使的任何其他权利或补救办法），以补偿甲方因乙方该等行为而造成的损失或者损害，但甲方应在抵扣行为发生后5个工作日内书面告知乙方。</w:t>
      </w:r>
    </w:p>
    <w:p w14:paraId="6838F1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应在接到钱款抵扣通知的10个工作日内把被甲方扣除部分的保证金重新补足并存放于甲方，甲方损失超过保证金的，乙方还应同时支付该部分差额；否则，甲方有权解除合同，收回物业，并有权追索相应损失。</w:t>
      </w:r>
    </w:p>
    <w:p w14:paraId="6B82873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乙方对甲方抵扣保证金有异议的，可以以书面形式向甲方提出，双方协商解决，协商不成的，适用本合同争议解决条款，但乙方提出异议不影响甲方的抵扣行为。</w:t>
      </w:r>
    </w:p>
    <w:p w14:paraId="0989DF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2.4甲方须在本合同终止（不论基于什么原因）、乙方交还物业，且双方就本协议而产生的一切权利和义务清理完毕并办理书面交接手续后10个工作日内，向乙方退还剩余保证金（不计利息）。</w:t>
      </w:r>
    </w:p>
    <w:p w14:paraId="095FB7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3.其他费用</w:t>
      </w:r>
    </w:p>
    <w:p w14:paraId="38134D23">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3.1</w:t>
      </w:r>
      <w:r>
        <w:rPr>
          <w:rFonts w:hint="eastAsia" w:ascii="仿宋_GB2312" w:hAnsi="仿宋_GB2312" w:eastAsia="仿宋_GB2312" w:cs="仿宋_GB2312"/>
          <w:color w:val="000000"/>
          <w:sz w:val="32"/>
          <w:szCs w:val="32"/>
        </w:rPr>
        <w:t>乙方独立使用的水、电(含乙方独立使用的室外广告、泛光照明等用电)、燃气、热力(采暖)等费用由乙方自行承担，每月结算一次，乙方在下个结算周期开始后5日内支付给甲方上个周期各项能耗费。水费收费单价为</w:t>
      </w:r>
      <w:r>
        <w:rPr>
          <w:rFonts w:ascii="仿宋_GB2312" w:hAnsi="仿宋_GB2312" w:eastAsia="仿宋_GB2312" w:cs="仿宋_GB2312"/>
          <w:color w:val="000000"/>
          <w:sz w:val="32"/>
          <w:szCs w:val="32"/>
        </w:rPr>
        <w:t>__</w:t>
      </w:r>
      <w:r>
        <w:rPr>
          <w:rFonts w:hint="eastAsia" w:ascii="仿宋_GB2312" w:hAnsi="仿宋_GB2312" w:eastAsia="仿宋_GB2312" w:cs="仿宋_GB2312"/>
          <w:color w:val="000000"/>
          <w:sz w:val="32"/>
          <w:szCs w:val="32"/>
        </w:rPr>
        <w:t xml:space="preserve">元/立方米(含服务费)电费收费单价为 </w:t>
      </w:r>
      <w:r>
        <w:rPr>
          <w:rFonts w:ascii="仿宋_GB2312" w:hAnsi="仿宋_GB2312" w:eastAsia="仿宋_GB2312" w:cs="仿宋_GB2312"/>
          <w:color w:val="000000"/>
          <w:sz w:val="32"/>
          <w:szCs w:val="32"/>
        </w:rPr>
        <w:t>__</w:t>
      </w:r>
      <w:r>
        <w:rPr>
          <w:rFonts w:hint="eastAsia" w:ascii="仿宋_GB2312" w:hAnsi="仿宋_GB2312" w:eastAsia="仿宋_GB2312" w:cs="仿宋_GB2312"/>
          <w:color w:val="000000"/>
          <w:sz w:val="32"/>
          <w:szCs w:val="32"/>
        </w:rPr>
        <w:t>元/度(含服务费)，水、电费由乙方支付给甲方，甲方提供水、电费发票。若乙方未能按期足额支付的则应按欠费金额的日 1%向甲方支付违约金，甲方有权从保证金中抵扣。如遇费用单价调整，甲方按相应收费主体的要求和标准向乙方收取，不再另行约定。</w:t>
      </w:r>
    </w:p>
    <w:p w14:paraId="57830869">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3.2物业服务费单价为</w:t>
      </w:r>
      <w:r>
        <w:rPr>
          <w:rFonts w:ascii="仿宋_GB2312" w:hAnsi="仿宋_GB2312" w:eastAsia="仿宋_GB2312" w:cs="仿宋_GB2312"/>
          <w:color w:val="000000"/>
          <w:sz w:val="32"/>
          <w:szCs w:val="32"/>
        </w:rPr>
        <w:t>__</w:t>
      </w:r>
      <w:r>
        <w:rPr>
          <w:rFonts w:hint="eastAsia" w:ascii="仿宋_GB2312" w:hAnsi="仿宋_GB2312" w:eastAsia="仿宋_GB2312" w:cs="仿宋_GB2312"/>
          <w:color w:val="000000"/>
          <w:sz w:val="32"/>
          <w:szCs w:val="32"/>
        </w:rPr>
        <w:t>元/平方米/月，</w:t>
      </w:r>
      <w:r>
        <w:rPr>
          <w:rFonts w:hint="eastAsia" w:ascii="仿宋_GB2312" w:hAnsi="仿宋_GB2312" w:eastAsia="仿宋_GB2312" w:cs="仿宋_GB2312"/>
          <w:color w:val="000000"/>
          <w:sz w:val="32"/>
          <w:szCs w:val="32"/>
          <w:u w:val="single"/>
        </w:rPr>
        <w:t>12</w:t>
      </w:r>
      <w:r>
        <w:rPr>
          <w:rFonts w:hint="eastAsia" w:ascii="仿宋_GB2312" w:hAnsi="仿宋_GB2312" w:eastAsia="仿宋_GB2312" w:cs="仿宋_GB2312"/>
          <w:color w:val="000000"/>
          <w:sz w:val="32"/>
          <w:szCs w:val="32"/>
        </w:rPr>
        <w:t>个月为一个结算周期缴纳，乙方应在下一期物业费起始前30日内，向甲方一次性足额支付下个周期物业服务费。甲方在收到物业服务费后10个工作日内向乙方提供物业服务费发票。逾期支付的，乙方按欠费金额的日1%向甲方支付违约金。</w:t>
      </w:r>
    </w:p>
    <w:p w14:paraId="58E6960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3.3乙方专用区域或专用设施设备产生的相关费用全部由乙方承担。</w:t>
      </w:r>
    </w:p>
    <w:p w14:paraId="2116B4B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3.4甲方根据实际情况对乙方收取该项目公共能耗的分摊费用，具体细节以双方签订的物业协议为准。</w:t>
      </w:r>
    </w:p>
    <w:p w14:paraId="7F1F4A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3.5乙方依据本合同应支付的租金分期按时缴入甲方指定的银行账户。</w:t>
      </w:r>
    </w:p>
    <w:p w14:paraId="6E7F229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甲方指定银行账户如下：</w:t>
      </w:r>
    </w:p>
    <w:p w14:paraId="1E5F9A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上述第三条1项装修保证金、第四条1.2项第一期半年租金和2.1项履约保证金支付至以下账户：</w:t>
      </w:r>
    </w:p>
    <w:p w14:paraId="54C86C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户名：杭州产权交易所有限责任公司</w:t>
      </w:r>
    </w:p>
    <w:p w14:paraId="27EC513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开户行：杭州银行市民中心支行</w:t>
      </w:r>
    </w:p>
    <w:p w14:paraId="2FF3D57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账号：3301040160002045899</w:t>
      </w:r>
    </w:p>
    <w:p w14:paraId="3851EC9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第二期租金及其他费用支付至以下账户</w:t>
      </w:r>
    </w:p>
    <w:p w14:paraId="39EDF79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账户名称：杭州市停车产业股份有限公司</w:t>
      </w:r>
    </w:p>
    <w:p w14:paraId="7940C9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 户 行：农行杭州钱江新城支行</w:t>
      </w:r>
    </w:p>
    <w:p w14:paraId="4574A0B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银行账号：19025901040007643</w:t>
      </w:r>
    </w:p>
    <w:p w14:paraId="2645926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第五条</w:t>
      </w:r>
      <w:r>
        <w:rPr>
          <w:rFonts w:hint="eastAsia" w:ascii="黑体" w:hAnsi="黑体" w:eastAsia="黑体" w:cs="黑体"/>
          <w:sz w:val="32"/>
          <w:szCs w:val="32"/>
        </w:rPr>
        <w:tab/>
      </w:r>
      <w:r>
        <w:rPr>
          <w:rFonts w:hint="eastAsia" w:ascii="黑体" w:hAnsi="黑体" w:eastAsia="黑体" w:cs="黑体"/>
          <w:sz w:val="32"/>
          <w:szCs w:val="32"/>
        </w:rPr>
        <w:t>物业交付与验收</w:t>
      </w:r>
    </w:p>
    <w:p w14:paraId="560F173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该物业交付手续完成的前提下，乙方接到甲方书面通知后，须在七天内办理交接手续（周末及法定节假日等相应顺延）。超过七天未办理手续视同接受，甲方有权要求乙方按正常交付情况下乙方应当支付的费用支付相关费用。超过三十天仍未办理交付手续的，则甲方有权解除本合同，乙方缴纳的保证金不予返还，并有权追索因乙方的该等行为所造成的一切损失。</w:t>
      </w:r>
    </w:p>
    <w:p w14:paraId="1BF9AA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乙双方交付、接收该物业时，应当签署一份交接凭据，交接凭据应当载明交接日期及该物业之状况；签署了交接凭据或乙方已实际取得该物业使用权（或取得物业钥匙），则甲乙双方的交付、接收义务已经完成。</w:t>
      </w:r>
    </w:p>
    <w:p w14:paraId="540D4DC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3.乙方已在交付日期前详细查看该物业现状及设施并对场地现状没有异议。</w:t>
      </w:r>
    </w:p>
    <w:p w14:paraId="1D6DAE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乙方接收该物业时，应当检查该物业；如果乙方认为该物业存在缺陷，应当于接收后5个工作日内书面通知甲方，乙方不得以质量瑕疵为由拒绝接收该物业。经甲方就该等缺陷书面确认后，甲方则应当于收到乙方书面通知后积极对有必要修复的物业或物件设施做修复。因乙方未按期通知致使该缺陷无法确认产生责任的，由乙方自行承担。</w:t>
      </w:r>
    </w:p>
    <w:p w14:paraId="13BDCB8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5.租赁物业的水、电等费用由乙方承担，乙方应在收到甲方书面通知之日起三日内支付，逾期支付的，甲方有权采取停水、停电等措施，由此造成的一切损失，由乙方自行承担。</w:t>
      </w:r>
    </w:p>
    <w:p w14:paraId="7334F172">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第六条 转租、转让和续租</w:t>
      </w:r>
    </w:p>
    <w:p w14:paraId="511F9D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租赁期内，未经甲方书面同意，乙方不得单方面改变经营业态，也不得对所租赁的物业进行转让、转包、分租、转租（未经甲方书面认可的联营、合伙、合股等均视为转租等擅自实施的行为），或者以互换、借用等形式允许任何第三人使用，乙方不得利用承租场地、设施或经营条件进行融资、抵押等金融活动。否则甲方有权解除本合同，乙方应当按当年年租金标准的50%向甲方支付违约金，</w:t>
      </w:r>
      <w:r>
        <w:rPr>
          <w:rFonts w:ascii="仿宋_GB2312" w:hAnsi="仿宋_GB2312" w:eastAsia="仿宋_GB2312" w:cs="仿宋_GB2312"/>
          <w:sz w:val="32"/>
          <w:szCs w:val="32"/>
        </w:rPr>
        <w:t>并</w:t>
      </w:r>
      <w:r>
        <w:rPr>
          <w:rFonts w:hint="eastAsia" w:ascii="仿宋_GB2312" w:hAnsi="仿宋_GB2312" w:eastAsia="仿宋_GB2312" w:cs="仿宋_GB2312"/>
          <w:sz w:val="32"/>
          <w:szCs w:val="32"/>
        </w:rPr>
        <w:t>没收</w:t>
      </w:r>
      <w:r>
        <w:rPr>
          <w:rFonts w:ascii="仿宋_GB2312" w:hAnsi="仿宋_GB2312" w:eastAsia="仿宋_GB2312" w:cs="仿宋_GB2312"/>
          <w:sz w:val="32"/>
          <w:szCs w:val="32"/>
        </w:rPr>
        <w:t>履约</w:t>
      </w:r>
      <w:r>
        <w:rPr>
          <w:rFonts w:hint="eastAsia" w:ascii="仿宋_GB2312" w:hAnsi="仿宋_GB2312" w:eastAsia="仿宋_GB2312" w:cs="仿宋_GB2312"/>
          <w:sz w:val="32"/>
          <w:szCs w:val="32"/>
        </w:rPr>
        <w:t>保证金，且乙方需在</w:t>
      </w:r>
      <w:r>
        <w:rPr>
          <w:rFonts w:hint="eastAsia" w:ascii="仿宋_GB2312" w:hAnsi="仿宋_GB2312" w:eastAsia="仿宋_GB2312" w:cs="仿宋_GB2312"/>
          <w:sz w:val="32"/>
          <w:szCs w:val="32"/>
          <w:u w:val="single"/>
        </w:rPr>
        <w:t>5</w:t>
      </w:r>
      <w:r>
        <w:rPr>
          <w:rFonts w:hint="eastAsia" w:ascii="仿宋_GB2312" w:hAnsi="仿宋_GB2312" w:eastAsia="仿宋_GB2312" w:cs="仿宋_GB2312"/>
          <w:sz w:val="32"/>
          <w:szCs w:val="32"/>
        </w:rPr>
        <w:t>个工作日之内完成</w:t>
      </w:r>
      <w:r>
        <w:rPr>
          <w:rFonts w:ascii="仿宋_GB2312" w:hAnsi="仿宋_GB2312" w:eastAsia="仿宋_GB2312" w:cs="仿宋_GB2312"/>
          <w:sz w:val="32"/>
          <w:szCs w:val="32"/>
        </w:rPr>
        <w:t>退</w:t>
      </w:r>
      <w:r>
        <w:rPr>
          <w:rFonts w:hint="eastAsia" w:ascii="仿宋_GB2312" w:hAnsi="仿宋_GB2312" w:eastAsia="仿宋_GB2312" w:cs="仿宋_GB2312"/>
          <w:sz w:val="32"/>
          <w:szCs w:val="32"/>
        </w:rPr>
        <w:t>场工作，如乙方未按规定时间内撤场，甲方有权</w:t>
      </w:r>
      <w:r>
        <w:rPr>
          <w:rFonts w:ascii="仿宋_GB2312" w:hAnsi="仿宋_GB2312" w:eastAsia="仿宋_GB2312" w:cs="仿宋_GB2312"/>
          <w:sz w:val="32"/>
          <w:szCs w:val="32"/>
        </w:rPr>
        <w:t>自行清场</w:t>
      </w:r>
      <w:r>
        <w:rPr>
          <w:rFonts w:hint="eastAsia" w:ascii="仿宋_GB2312" w:hAnsi="仿宋_GB2312" w:eastAsia="仿宋_GB2312" w:cs="仿宋_GB2312"/>
          <w:sz w:val="32"/>
          <w:szCs w:val="32"/>
        </w:rPr>
        <w:t>。如因此给甲方造成损失的，乙方还应承担全部赔偿责任。</w:t>
      </w:r>
    </w:p>
    <w:p w14:paraId="44EDC1B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乙方是否遵守本合同条款及双方签订的相关物业管理协议、装修管理协议等，包括是否按规定履行相关付款义务（该等款项包括但不限于租金、物业费、因商户经营活动而产生的政府税费和其他应由商户支付的费用，如水费、电费、垃圾清运费、停车费、能耗费及相关公共事业费等），将作为甲方是否同意乙方继续合作的先决条件，如乙方在当期物业租赁合同存续期内有三次（含）以上未按时足额缴纳相关费用的，物业租赁合同期满后甲方将不再与乙方继续合作。</w:t>
      </w:r>
    </w:p>
    <w:p w14:paraId="702E2A4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合同到期前同等条件下乙方拥有优先续租权。甲方有权携同该物业未来的任何意向租户或有关人士在租赁期结束前或提前结束前的4个月内的所有合理时间内，预先通知乙方后勘察该物业，乙方不得阻扰应予以配合，但甲方的该等行为不得干扰乙方的正常经营活动。</w:t>
      </w:r>
    </w:p>
    <w:p w14:paraId="3617DB1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租赁期限内，如产权方将租赁物业用于抵押给金融机构或其他债权人的，乙方同意按金融机构或其他债权人的要求出具相关承诺，以便于产权方办理抵押登记手续。如乙方不同意出具相关承诺而导致不能办理抵押手续的，甲方有权提前解除本合同。</w:t>
      </w:r>
    </w:p>
    <w:p w14:paraId="4C3D460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第七条 物业交还</w:t>
      </w:r>
    </w:p>
    <w:p w14:paraId="65B4E66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1.交还日期及适用范围</w:t>
      </w:r>
    </w:p>
    <w:p w14:paraId="67F869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1.1乙方应当于本合同约定的租期结束之日交还该物业。</w:t>
      </w:r>
    </w:p>
    <w:p w14:paraId="3FE954B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除租赁期限届满，正常终止合同外，如果甲方或乙方依据本合同或法律、法规的规定单方面解除合同，或因不可抗力或意外事件等其他原因致使本合同提前终止的，则乙方应当在本合同提前终止之日起5个工作日内交还该物业。</w:t>
      </w:r>
    </w:p>
    <w:p w14:paraId="75640CB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2.交还状况及装修和附属设施、设备的归属</w:t>
      </w:r>
    </w:p>
    <w:p w14:paraId="1A484AE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租赁期满或因故解约，乙方同意所有该物业内形成附合的装饰装修物无偿归甲方所有，乙方不得拆走或损坏，并应在3日内将该物业腾空交还给甲方。如有损坏，则恢复该物业为交付状态或损坏前状态的一切费用（包括但不限于拆除、重新安装、粉刷、油漆等费用）由乙方承担。乙方应交出进入该物业的所有钥匙, 并要保持该物业内甲方提供的设备处于正常可使用的实际状态（合理损耗除外）。</w:t>
      </w:r>
    </w:p>
    <w:p w14:paraId="626D6C6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乙方未拆走或者逾期拆走的装修与设施、设备无偿归甲方所有，甲方不予补偿。同时，乙方不得拆除或损坏与公共设施有关的一切设备，若有违反，甲方有权按设施原值向乙方索赔。</w:t>
      </w:r>
    </w:p>
    <w:p w14:paraId="1AE3D2D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2.2如果该物业交还时之状况不符合前项规定，甲方有权要求乙方采取一切措施或自行采取措施，使得该物业之状况符合前项规定，由此产生的一切费用和开支由乙方承担。</w:t>
      </w:r>
    </w:p>
    <w:p w14:paraId="311CDA9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2.3乙方应当在本合同终止或者提前解除之日起5天内注销该物业工商登记等注册情况，否则甲方有权利拒绝返还保证金；乙方逾期注销的，每逾期一日，按照上一月租金的0.4%/日的标准计算违约金。</w:t>
      </w:r>
    </w:p>
    <w:p w14:paraId="3AFA0A0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3.交还通知、查验和接收</w:t>
      </w:r>
    </w:p>
    <w:p w14:paraId="255F73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3.1租赁期届满或者因故解约（不论基于何种原因），乙方应当在五日内腾空并交还租赁物业，甲方应当按照该等通知查验及接收该物业。</w:t>
      </w:r>
    </w:p>
    <w:p w14:paraId="59CF8E0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3.2甲方应该依照通常合理的标准及本合同相关规定查验该物业。</w:t>
      </w:r>
    </w:p>
    <w:p w14:paraId="0A8782E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3.3在符合本合同相关规定的情形下，甲乙双方应当签署一份交还凭据，交还凭据一经签署，乙方交还该物业的义务立即完成。</w:t>
      </w:r>
    </w:p>
    <w:p w14:paraId="0BB47BE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4.逾期交还的后果</w:t>
      </w:r>
    </w:p>
    <w:p w14:paraId="260327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逾期腾空并交还物业的，甲方有权采取停水、停电等相关措施，如造成乙方损失的，由乙方自行承担。同时乙方应按交还物业前最后一月的租金标准向甲方支付2.5倍占有使用费，并向甲方赔偿由此而造成的直接损失和间接损失（包括但不限于租金、物业服务相关费用、水费、电费等其他费用及其违约金、向第三人支付的违约金以及第三人的损失），同时甲方有权没收乙方保证金。</w:t>
      </w:r>
    </w:p>
    <w:p w14:paraId="621EF64D">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第八条 双方相互承诺和保证</w:t>
      </w:r>
    </w:p>
    <w:p w14:paraId="58DBCD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1.甲乙双方相互声明、承诺并保证如下：</w:t>
      </w:r>
    </w:p>
    <w:p w14:paraId="0378C54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1.1有权签署本合同并有能力履行其于本合同项下的义务；将签署一切必须的文件并采取一切所需的行动以使本合同规定的条款顺利履行。</w:t>
      </w:r>
    </w:p>
    <w:p w14:paraId="4B354B7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除本合同另有规定外，本合同的签署及履行不会导致违反、取消或终止任何合同、承诺或其它正式文件的任何条款和条件，或构成任何合同、承诺或者其它正式文件下的违约事项；亦不会违反任何法院判决、裁定，或任何管理机关、政府组织的规定、决定。</w:t>
      </w:r>
    </w:p>
    <w:p w14:paraId="569D458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1.3甲方管辖的乙方专用区域以外区域的使用，需经过甲方同意，并按照物业管理协议相关约定执行。</w:t>
      </w:r>
    </w:p>
    <w:p w14:paraId="6A80834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1.4乙方对平台区域有租赁及合作需求，经双方协商一致可另行签订合同约定。</w:t>
      </w:r>
    </w:p>
    <w:p w14:paraId="5F39796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乙方承诺在承租期间承担生产经营中的安全生产责任，并配合甲方完成该物业管理相关要求工作，包括但不限于各项专项检查、安全检查等，并完善检查台账。</w:t>
      </w:r>
    </w:p>
    <w:p w14:paraId="3AF38E9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2.甲方向乙方声明、承诺并保证如下：</w:t>
      </w:r>
    </w:p>
    <w:p w14:paraId="2CB1B10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2.1在乙方按照本合同规定交纳租金及遵守和履行所有本合同项下的承诺、规定的前提下，乙方有权在租赁期内使用及享用该物业，而不受到甲方或其代表的不合法的干扰。</w:t>
      </w:r>
    </w:p>
    <w:p w14:paraId="37E0937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2.2甲方对该物业享有完全的出租及收取租金的权利。按时向政府有关部门支付所有根据法律、法规规定就该物业租赁而需甲方支付的税费。</w:t>
      </w:r>
    </w:p>
    <w:p w14:paraId="3D86DC4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3.乙方向甲方声明、承诺并保证如下：</w:t>
      </w:r>
    </w:p>
    <w:p w14:paraId="79BC8C2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3.1乙方将按照有关规定，经向甲方备案并经甲方许可后对租赁物业进行装修、改善、安装设备或增设他物。有关装修费用由乙方自行承担。</w:t>
      </w:r>
    </w:p>
    <w:p w14:paraId="51593BC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3.2乙方应服从甲方对该物业区域营业时间的安排，不得于正常营业时间内无故停止营业，撤离派驻人员或商品。乙方并应配合甲方对该物业区域进行宣传推广的时间安排。</w:t>
      </w:r>
    </w:p>
    <w:p w14:paraId="6758626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3.3乙方提供的商品或服务必须实行明码标价，商品或服务价格的制定及商品标识不得违反中华人民共和国和浙江省、杭州市人民政府等的有关法律、法规、规章、文件的规定。</w:t>
      </w:r>
    </w:p>
    <w:p w14:paraId="44C484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3.4乙方应尽最大努力及采取合法、合理的方式使用该物业，维护甲方及该物业区域的信誉和声誉。若乙方在该物业进行任何活动、事情或其他作为或不作为违反或触犯中国有关法律、法规及政府有关部门下达的有关指令而对甲方造成任何损失，乙方应向甲方负赔偿及其他法律责任。</w:t>
      </w:r>
    </w:p>
    <w:p w14:paraId="420DB6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3.5乙方若收到政府有关部门就该物业发出的任何通知或法院送达的传票，应在48小时内书面方式通知到甲方。</w:t>
      </w:r>
    </w:p>
    <w:p w14:paraId="2331C8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3.6未经甲方书面同意，乙方不得在物业以外的街区公共区域悬挂或张贴标识标牌及广告类宣传品。</w:t>
      </w:r>
    </w:p>
    <w:p w14:paraId="47F6DF3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第九条 合同变更和解除的条件</w:t>
      </w:r>
    </w:p>
    <w:p w14:paraId="64DEA2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1.变更本合同的条件如下：</w:t>
      </w:r>
    </w:p>
    <w:p w14:paraId="4C18F1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1.1租赁期限内，除本合同另有规定，如出现下述情况，双方可变更本合同：</w:t>
      </w:r>
    </w:p>
    <w:p w14:paraId="73EB654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a.甲方或乙方因有特殊原因，经双方协商一致，同意变更合同的。</w:t>
      </w:r>
    </w:p>
    <w:p w14:paraId="289A71B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b.乙方违反本合同及其附件和补充条款的约定，且经甲方提出后的14天内乙方未予纠正的。</w:t>
      </w:r>
    </w:p>
    <w:p w14:paraId="4809A0F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c.因不可抗力或意外事件，致使该物业及其附属设施的损坏，使本合同不能继续履行的。</w:t>
      </w:r>
    </w:p>
    <w:p w14:paraId="34703C7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1.2变更本合同的，要求变更合同的一方应主动向另一方提出。</w:t>
      </w:r>
    </w:p>
    <w:p w14:paraId="50CD08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1.3因变更本合同，使一方遭到损失的，有过错一方应赔偿另一方的损失。</w:t>
      </w:r>
    </w:p>
    <w:p w14:paraId="64DE7E4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2.解除本合同的条件如下：</w:t>
      </w:r>
    </w:p>
    <w:p w14:paraId="469EE4E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2.1租赁期限内，除本合同另有规定外，如出现下述情况，可解除合同：</w:t>
      </w:r>
    </w:p>
    <w:p w14:paraId="58C112F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a.甲方或乙方因有特殊原因，经双方协商一致，同意解除合同的。</w:t>
      </w:r>
    </w:p>
    <w:p w14:paraId="02026B4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b.乙方违反本合同及其附件和补充条款规定的约定，且经甲方提出后的30天内，乙方未予纠正的，甲方有权单方解除合同。</w:t>
      </w:r>
    </w:p>
    <w:p w14:paraId="31DA1D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c.在租赁期间，政府决定征用该物业所在土地而需拆除该物业的。</w:t>
      </w:r>
    </w:p>
    <w:p w14:paraId="17A9518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d.因不可抗力或意外事件，使本合同无法履行的。</w:t>
      </w:r>
    </w:p>
    <w:p w14:paraId="55AA473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2.2解除本合同的，有权解除合同的一方应主动向另一方提出。</w:t>
      </w:r>
    </w:p>
    <w:p w14:paraId="007BF82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2.3因解除本合同，使一方遭到损失的，有过错的一方应赔偿另一方的损失。</w:t>
      </w:r>
    </w:p>
    <w:p w14:paraId="2EEAE55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第十条 违约责任</w:t>
      </w:r>
    </w:p>
    <w:p w14:paraId="046C8B1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1.违约</w:t>
      </w:r>
    </w:p>
    <w:p w14:paraId="532143A4">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1.1乙方任何违反、不遵守本合同和管理守则或未履行或未完全履行其于本合同项下的责任和义务将构成乙方的违约。</w:t>
      </w:r>
    </w:p>
    <w:p w14:paraId="3E2CCEF2">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1.2如甲方在协议有效期内，(除乙方过错和遭遇不可抗力情况外）有以下违约行为，乙方有权解除本协议并要求甲方退还全部已付租金和押金：</w:t>
      </w:r>
    </w:p>
    <w:p w14:paraId="580BEC56">
      <w:pPr>
        <w:spacing w:line="560" w:lineRule="exact"/>
        <w:ind w:firstLine="640" w:firstLineChars="200"/>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(1)因甲方原因，导致乙方无法经营30日；</w:t>
      </w:r>
    </w:p>
    <w:p w14:paraId="5C767196">
      <w:pPr>
        <w:widowControl/>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(2)因甲方原因导致本协议提前终止或无法履行的。</w:t>
      </w:r>
    </w:p>
    <w:p w14:paraId="46F0793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2.甲方的救济权</w:t>
      </w:r>
    </w:p>
    <w:p w14:paraId="1267C24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对于乙方的违约，甲方有权在给予了乙方不少于10天的纠正期限届满后停止对该物业的公用事业等供应（包括但不限于水、电、通讯等），并直至乙方的违约行为完全纠正为止。因此产生的损失、责任由乙方承担。</w:t>
      </w:r>
    </w:p>
    <w:p w14:paraId="3195ACB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2.2若发生下述任何一情形，将视为乙方实质性的违反了本合同，甲方有权单方提前解除本合同：</w:t>
      </w:r>
    </w:p>
    <w:p w14:paraId="56107AF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乙方未足额或未按时支付租金、水费、电费、保证金、物业服务费或公用事业费等费用合计超过30天；或者乙方未支付的租金、物业服务费和公用事业费的金额累积达到或超过3个月的基本租金（以当时适用的基本租金标准计）；</w:t>
      </w:r>
    </w:p>
    <w:p w14:paraId="514956CD">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（2）乙方未经甲方事先的书面同意而改变租赁场所的用途，或在租赁场所内从事违法经营或其他非法行为；</w:t>
      </w:r>
    </w:p>
    <w:p w14:paraId="0593DBD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（3）未经甲方的事先书面同意，乙方擅自更改或拆除租赁场所的任何部分或任何附属设施；</w:t>
      </w:r>
    </w:p>
    <w:p w14:paraId="14660AD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（4）未经甲方的事先书面同意，乙方擅自在租赁场所内、外增添任何附着物、装置物或设施；</w:t>
      </w:r>
    </w:p>
    <w:p w14:paraId="29B9DED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（5）未经甲方的事先书面同意，改变与破坏甲方现有物业的建筑结构；</w:t>
      </w:r>
    </w:p>
    <w:p w14:paraId="5AA70C6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（6）乙方严重损坏租赁场所、附属设施、公共区域或公共设施；</w:t>
      </w:r>
    </w:p>
    <w:p w14:paraId="55931ED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（7）乙方的所获得的授权、许可被撤销或发生变更，且对本合同的履行造成了实质性的不利影响；</w:t>
      </w:r>
    </w:p>
    <w:p w14:paraId="0812CEA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（8）乙方的清算事件；</w:t>
      </w:r>
    </w:p>
    <w:p w14:paraId="548EF7D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（9）未经甲方的事先书面同意，乙方在本合同规定的开业日期后20天内仍未开始营业或在租赁期内停止营业持续超过10天或在一年内累计超过20天；</w:t>
      </w:r>
    </w:p>
    <w:p w14:paraId="0BC6FA2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（10）未经甲方的事先书面同意，乙方转租或分租租赁场所或许可任何第三人使用租赁场所；</w:t>
      </w:r>
    </w:p>
    <w:p w14:paraId="6B7683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（11）乙方的其他违约行为在乙方收到甲方发出的要求纠正该等违约行为的书面通知后的三十天内仍未予纠正的，本合同将在甲方将通知送达到乙方确定的地址后终止。</w:t>
      </w:r>
    </w:p>
    <w:p w14:paraId="3CA38CF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如乙方发生因法律规定或合同约定应承担的费用而未按时支付的，甲方有权直接从保证金中扣除；在保证金相应扣除后，乙方应在收到甲方通知后补足，逾期补足的甲方有权按保证金总额以每日千分之一的比例要求乙方支付违约金。</w:t>
      </w:r>
    </w:p>
    <w:p w14:paraId="6963369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3.违约赔偿</w:t>
      </w:r>
    </w:p>
    <w:p w14:paraId="1E3249C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乙方应支付的违约赔偿须足以弥补甲方因乙方的违约而遭受、产生的任何损失、损害、费用、支出，并应承担甲方为主张该权利而产生的律师费、保全担保费、公证费、鉴定费等相关合理费用。</w:t>
      </w:r>
    </w:p>
    <w:p w14:paraId="0A4501A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a.乙方逾期支付租金、水费、电费、保证金、物业服务费或公用事业费等费用，除应当按本合同约定承担相应的违约责任之外，还应当自逾期之日起每天按应付未付款项金额的的1‰的标准向甲方支付违约金；</w:t>
      </w:r>
    </w:p>
    <w:p w14:paraId="145C490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b.除以上a款所述未按期付款之外的其他任何一次的违约，则与6个月的租金（以违约行为发生时适用的租金标准为准）等额。</w:t>
      </w:r>
    </w:p>
    <w:p w14:paraId="3369FBE4">
      <w:pPr>
        <w:ind w:firstLine="640"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lang w:bidi="ar"/>
        </w:rPr>
        <w:t>c</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rPr>
        <w:t>如若承租期内，乙方未能履约合同，甲方有权扣除其履约保证金。</w:t>
      </w:r>
    </w:p>
    <w:p w14:paraId="03F120B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第十一条 不可抗力</w:t>
      </w:r>
    </w:p>
    <w:p w14:paraId="5480B98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不可抗力”是指本合同双方不可预见、亦无法避免的事件，该事件妨碍、影响或延误任何一方根据本合同履行其全部或部分义务。该事件包括但不限于政府政策法规变化或地震、台风、洪水及其他天灾、战争或任何其他类似事件。</w:t>
      </w:r>
    </w:p>
    <w:p w14:paraId="6959B6C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2.如发生不可抗力事件，遭受该事件的一方应立即用可能的最快捷的方式通知对方该事件的性质、发生日期、预计持续时间等有关的细节，以及该事件阻碍通知方履行其于本合同项下义务的程度。</w:t>
      </w:r>
    </w:p>
    <w:p w14:paraId="31C692A4">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3.在不可抗力事件持续期间，遭受不可抗力事件的一方应定期及时地告知对方不可抗力事件的现状，如不可抗力事件结束，应立即以书面形式通知对方。</w:t>
      </w:r>
    </w:p>
    <w:p w14:paraId="29F471F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4.遭受不可抗力事件的一方可暂行中止履行本合同项下的义务直至不可抗力事件的影响消除为止，并且无需为此而承担违约责任；但应尽最大努力克服该事件，减轻其负面的影响。</w:t>
      </w:r>
    </w:p>
    <w:p w14:paraId="21C43EF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5.遭受不可抗力的一方应当向对方提供事件发生地区的公证机构（或其他适当机构）出具的证实不可抗力事件的合法证明，如其不能提供该等证明，对方可根据本合同的规定要求其承担违约责任。</w:t>
      </w:r>
    </w:p>
    <w:p w14:paraId="00B11CD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乙方知晓</w:t>
      </w:r>
      <w:r>
        <w:rPr>
          <w:rFonts w:hint="eastAsia" w:ascii="仿宋_GB2312" w:hAnsi="仿宋_GB2312" w:eastAsia="仿宋_GB2312" w:cs="仿宋_GB2312"/>
          <w:sz w:val="32"/>
          <w:szCs w:val="32"/>
        </w:rPr>
        <w:t>蜻蜓车楼的塔库设备无法正常使用，若乙方需紧急使用，请提前</w:t>
      </w:r>
      <w:r>
        <w:rPr>
          <w:rFonts w:ascii="仿宋_GB2312" w:hAnsi="仿宋_GB2312" w:eastAsia="仿宋_GB2312" w:cs="仿宋_GB2312"/>
          <w:sz w:val="32"/>
          <w:szCs w:val="32"/>
        </w:rPr>
        <w:t>告知甲方并</w:t>
      </w:r>
      <w:r>
        <w:rPr>
          <w:rFonts w:hint="eastAsia" w:ascii="仿宋_GB2312" w:hAnsi="仿宋_GB2312" w:eastAsia="仿宋_GB2312" w:cs="仿宋_GB2312"/>
          <w:sz w:val="32"/>
          <w:szCs w:val="32"/>
        </w:rPr>
        <w:t>与甲方协商。</w:t>
      </w:r>
    </w:p>
    <w:p w14:paraId="25AD49E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第十二条 通知与送达</w:t>
      </w:r>
    </w:p>
    <w:p w14:paraId="03F870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1.任何与本合同有关的由本合同双方当事人发出的任何文件、通知、争议解决及其它通讯往来，必须采用书面形式，并送达至下述地址或双方书面通知的其他地址。</w:t>
      </w:r>
    </w:p>
    <w:p w14:paraId="6CF20E64">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w:t>
      </w:r>
    </w:p>
    <w:p w14:paraId="1D1F1292">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
    <w:p w14:paraId="4C182D0D">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
    <w:p w14:paraId="5685268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4D24354D">
      <w:pPr>
        <w:spacing w:line="560" w:lineRule="exact"/>
        <w:rPr>
          <w:rFonts w:hint="eastAsia" w:ascii="仿宋_GB2312" w:hAnsi="仿宋_GB2312" w:eastAsia="仿宋_GB2312" w:cs="仿宋_GB2312"/>
          <w:sz w:val="32"/>
          <w:szCs w:val="32"/>
        </w:rPr>
      </w:pPr>
    </w:p>
    <w:p w14:paraId="011DBB8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w:t>
      </w:r>
    </w:p>
    <w:p w14:paraId="6CAF8A0C">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w:t>
      </w:r>
    </w:p>
    <w:p w14:paraId="254FD90F">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w:t>
      </w:r>
    </w:p>
    <w:p w14:paraId="0346ECA5">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p>
    <w:p w14:paraId="52F1216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任何文件、通知或其他通讯往来，如以邮寄的方式，在寄出后第三个工作日将视为已送达，邮政局出具的EMS投送收据或邮政EMS官网跟踪投递信息，将作为有效证明；如以手递的方式，则于对方签收时视作已送达，收条将作为有效证明。</w:t>
      </w:r>
    </w:p>
    <w:p w14:paraId="079B2D6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3.甲方在乙方租赁物业门口或其他醒目位置张贴与日常物业管理有关的通知或文件，张贴时间持续超过三个工作日的（以物业公司书面记录为准），即视为已送达到乙方。</w:t>
      </w:r>
    </w:p>
    <w:p w14:paraId="6728E59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更改地址要在五天之内以书面通知其他各方，如因地址变更方未通知地址变更导致送达不能或约定地址无人接收通知或信件的，则在一方向约定地址寄送通知或信件之日起第5日视为送达，由此造成的责任由地址变更方承担。</w:t>
      </w:r>
    </w:p>
    <w:p w14:paraId="26FC954B">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第十三条 法律适用</w:t>
      </w:r>
    </w:p>
    <w:p w14:paraId="42F8240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1.双方在履行本合同过程中发生争议，应协商解决。协商不成时，应向该物业所在地人民法院起诉。</w:t>
      </w:r>
    </w:p>
    <w:p w14:paraId="448A185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2.本合同的订立、效力、解释、履行及其争议的解决，均应适用中华人民共和国的法律及受其管辖。</w:t>
      </w:r>
    </w:p>
    <w:p w14:paraId="00D3F974">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第十四条 合同效力</w:t>
      </w:r>
    </w:p>
    <w:p w14:paraId="5F158DB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1.本合同构成甲方和乙方就有关本合同所涉及事项的全部合同，并且取代有关本合同的所载的各事项先前的所有口头及书面合同。</w:t>
      </w:r>
    </w:p>
    <w:p w14:paraId="58E97BC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2.本合同附件所列明的内容为本合同双方就本合同有关条款内容所作之补充、修正、解释及说明，为本合同双方所确认及同意，亦为本合同的组成部分。</w:t>
      </w:r>
    </w:p>
    <w:p w14:paraId="103E09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3.本合同自双方盖章后生效。</w:t>
      </w:r>
    </w:p>
    <w:p w14:paraId="370F053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4.本合同正本及其附件一式捌份，甲乙双方各执肆份，具有同等法律效力。</w:t>
      </w:r>
    </w:p>
    <w:p w14:paraId="5647D31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5.本合同条款的标题仅为方便参阅而设，不得用于解释合同条款。</w:t>
      </w:r>
    </w:p>
    <w:p w14:paraId="1C79F7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6.本合同条款经双方协商和谈判而达成，不构成任何一方的格式条款。</w:t>
      </w:r>
    </w:p>
    <w:p w14:paraId="0E176F7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7.本合同以中文书写，如其他文字文本与中文文本不符，以中文文本为准。</w:t>
      </w:r>
    </w:p>
    <w:p w14:paraId="341BFCE7">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第十五条 其他条款</w:t>
      </w:r>
    </w:p>
    <w:p w14:paraId="30C1E72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租赁期间，甲方因合理变更、修缮需要，在事先知会乙方后，有权临时封闭该物业所在建筑物的公用区域及公用设施或其他部分设施（包括但不限于走道，门户，窗户，电动装配，电缆电线，水管通道，燃气管道，电梯。自动扶梯，防火，保安设备，空调设备），变更该物业所在建筑物之公用区域整体结构、布局及安排。</w:t>
      </w:r>
    </w:p>
    <w:p w14:paraId="19CCEC8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2.物业的维修养护责任</w:t>
      </w:r>
    </w:p>
    <w:p w14:paraId="659BB7F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正常的房屋大修费用由甲方承担；日常的房屋维修费用由乙方承担，如需维修乙方应书面通知甲方，甲方收到通知后维修。因乙方管理使用不善造成房屋及相关设备的损失和维修费用，由乙方承担并负责赔偿由此给甲方造成的损失。</w:t>
      </w:r>
    </w:p>
    <w:p w14:paraId="21ED30E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2.2乙方租赁范围以内的（主体结构除外）所有维护由乙方承担。需牵动或拆除部分主体构件，但不需全部拆除的工程由甲方管理。</w:t>
      </w:r>
    </w:p>
    <w:p w14:paraId="237B0F2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由甲方提供的、供乙方独立使用的电扶梯、货梯的日常维修、运行管理、专业保养及相应费用（含能耗及检测费用）由乙方负责，如委托甲方管理，则由甲、乙双方协商后甲方提供有偿服务，相关费用由乙方承担。</w:t>
      </w:r>
    </w:p>
    <w:p w14:paraId="4300115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2.4乙方使用的租赁场所外的墙体景观照明、其他类照明的维保、绿化的维保、能耗等费用由甲乙双方一起分摊。</w:t>
      </w:r>
    </w:p>
    <w:p w14:paraId="74A64B2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3.安全、环境的物业经营管理界面</w:t>
      </w:r>
    </w:p>
    <w:p w14:paraId="2A9F51B2">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3.1租赁场所内安全管理由乙方自行负责；</w:t>
      </w:r>
    </w:p>
    <w:p w14:paraId="3D0DEAD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3.2乙方专用的消防通道日常安全消防管理由乙方管理；</w:t>
      </w:r>
    </w:p>
    <w:p w14:paraId="59F5FC8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3.3乙方须配合和协助当地有关部门对租赁场所外的区域进行安全监控和巡视，协助公安等政府职能部门对发现任何违反国家法律法规的行为进行制止，并报政府相关部门处理。</w:t>
      </w:r>
    </w:p>
    <w:p w14:paraId="4CE5FED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4.保洁及环境绿化管理界面</w:t>
      </w:r>
    </w:p>
    <w:p w14:paraId="2E6E6D9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4.1租赁场所内保洁、绿化工作由乙方自行负责。但由乙方对租赁场所外造成污染的，应由乙方负责清理至达到甲方清洁标准或按甲方要求补偿相应卫生保洁费；</w:t>
      </w:r>
    </w:p>
    <w:p w14:paraId="5D6F6B36">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4.2乙方自行负责其租赁场所垃圾清运及消杀工作，未经甲方事先书面同意，乙方不得占用其租赁场所以外的空间堆放垃圾；</w:t>
      </w:r>
    </w:p>
    <w:p w14:paraId="1670CE49">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4.3乙方专用的消防通道保洁由乙方管理。</w:t>
      </w:r>
    </w:p>
    <w:p w14:paraId="00A68DEE">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5.乙方标识标牌的体现形式与放置位置需要经过甲方书面同意并按照政府的相关规定与要求办理手续后进行设置，产生的一切费用与改造产生的任何后果均由乙方承担。</w:t>
      </w:r>
    </w:p>
    <w:p w14:paraId="109F9AE9">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（以下无正文，为合同附件及签署页）</w:t>
      </w:r>
    </w:p>
    <w:p w14:paraId="5606A001">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                      乙方：</w:t>
      </w:r>
    </w:p>
    <w:p w14:paraId="57353704">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授权代表：                  授权代表：</w:t>
      </w:r>
    </w:p>
    <w:p w14:paraId="2F8C8526">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                      电话：</w:t>
      </w:r>
    </w:p>
    <w:p w14:paraId="3CDCBD79">
      <w:pPr>
        <w:spacing w:line="560" w:lineRule="exact"/>
        <w:ind w:firstLine="4480" w:firstLineChars="1400"/>
        <w:rPr>
          <w:rFonts w:hint="eastAsia" w:ascii="仿宋_GB2312" w:hAnsi="仿宋_GB2312" w:eastAsia="仿宋_GB2312" w:cs="仿宋_GB2312"/>
          <w:sz w:val="32"/>
          <w:szCs w:val="32"/>
        </w:rPr>
      </w:pPr>
    </w:p>
    <w:p w14:paraId="7B5DAD69">
      <w:pPr>
        <w:spacing w:line="560" w:lineRule="exact"/>
        <w:ind w:firstLine="4480" w:firstLineChars="1400"/>
        <w:rPr>
          <w:rFonts w:hint="eastAsia" w:ascii="仿宋_GB2312" w:hAnsi="仿宋_GB2312" w:eastAsia="仿宋_GB2312" w:cs="仿宋_GB2312"/>
          <w:sz w:val="32"/>
          <w:szCs w:val="32"/>
        </w:rPr>
      </w:pPr>
    </w:p>
    <w:p w14:paraId="53D288E8">
      <w:pPr>
        <w:spacing w:line="560" w:lineRule="exact"/>
        <w:ind w:firstLine="4480" w:firstLineChars="1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签约日期：    年  月  日</w:t>
      </w:r>
    </w:p>
    <w:p w14:paraId="4EDB1E8C">
      <w:pPr>
        <w:spacing w:line="560" w:lineRule="exact"/>
        <w:ind w:firstLine="4480" w:firstLineChars="1400"/>
        <w:rPr>
          <w:rFonts w:hint="eastAsia" w:ascii="仿宋_GB2312" w:hAnsi="仿宋_GB2312" w:eastAsia="仿宋_GB2312" w:cs="仿宋_GB2312"/>
          <w:sz w:val="32"/>
          <w:szCs w:val="32"/>
        </w:rPr>
      </w:pPr>
    </w:p>
    <w:p w14:paraId="472FBAC6">
      <w:pPr>
        <w:rPr>
          <w:rFonts w:ascii="仿宋_GB2312" w:eastAsia="仿宋_GB2312"/>
          <w:sz w:val="32"/>
          <w:szCs w:val="32"/>
        </w:rPr>
      </w:pPr>
      <w:r>
        <w:rPr>
          <w:rFonts w:hint="eastAsia" w:ascii="仿宋_GB2312" w:eastAsia="仿宋_GB2312"/>
          <w:sz w:val="32"/>
          <w:szCs w:val="32"/>
        </w:rPr>
        <w:br w:type="page"/>
      </w:r>
    </w:p>
    <w:p w14:paraId="48C09B4E">
      <w:pPr>
        <w:autoSpaceDE w:val="0"/>
        <w:autoSpaceDN w:val="0"/>
        <w:adjustRightInd w:val="0"/>
        <w:snapToGrid w:val="0"/>
        <w:spacing w:line="560" w:lineRule="exact"/>
        <w:rPr>
          <w:rFonts w:ascii="仿宋_GB2312" w:eastAsia="仿宋_GB2312"/>
          <w:sz w:val="32"/>
          <w:szCs w:val="32"/>
        </w:rPr>
        <w:sectPr>
          <w:footerReference r:id="rId3" w:type="default"/>
          <w:pgSz w:w="11906" w:h="16838"/>
          <w:pgMar w:top="1440" w:right="1800" w:bottom="1440" w:left="1800" w:header="851" w:footer="992" w:gutter="0"/>
          <w:pgNumType w:fmt="numberInDash"/>
          <w:cols w:space="425" w:num="1"/>
          <w:docGrid w:type="lines" w:linePitch="312" w:charSpace="0"/>
        </w:sectPr>
      </w:pPr>
    </w:p>
    <w:p w14:paraId="2FF7B44F">
      <w:pPr>
        <w:rPr>
          <w:rFonts w:ascii="仿宋_GB2312" w:eastAsia="仿宋_GB2312"/>
          <w:sz w:val="32"/>
          <w:szCs w:val="32"/>
        </w:rPr>
      </w:pPr>
      <w:r>
        <w:rPr>
          <w:rFonts w:hint="eastAsia" w:ascii="仿宋_GB2312" w:eastAsia="仿宋_GB2312"/>
          <w:sz w:val="32"/>
          <w:szCs w:val="32"/>
        </w:rPr>
        <w:t>附件：租赁场地图示</w:t>
      </w:r>
    </w:p>
    <w:p w14:paraId="4CCD094C">
      <w:pPr>
        <w:spacing w:line="720" w:lineRule="exact"/>
        <w:ind w:firstLine="880" w:firstLineChars="200"/>
        <w:jc w:val="left"/>
        <w:rPr>
          <w:rFonts w:ascii="方正小标宋_GBK" w:eastAsia="方正小标宋_GBK"/>
          <w:sz w:val="44"/>
          <w:szCs w:val="44"/>
        </w:rPr>
      </w:pPr>
      <w:r>
        <w:rPr>
          <w:rFonts w:hint="eastAsia" w:ascii="方正小标宋_GBK" w:eastAsia="方正小标宋_GBK"/>
          <w:sz w:val="44"/>
          <w:szCs w:val="44"/>
        </w:rPr>
        <w:t>蜻蜓车楼（</w:t>
      </w:r>
      <w:r>
        <w:rPr>
          <w:rFonts w:ascii="方正小标宋_GBK" w:eastAsia="方正小标宋_GBK"/>
          <w:sz w:val="44"/>
          <w:szCs w:val="44"/>
        </w:rPr>
        <w:t>一</w:t>
      </w:r>
      <w:r>
        <w:rPr>
          <w:rFonts w:hint="eastAsia" w:ascii="方正小标宋_GBK" w:eastAsia="方正小标宋_GBK"/>
          <w:sz w:val="44"/>
          <w:szCs w:val="44"/>
        </w:rPr>
        <w:t>层）：</w:t>
      </w:r>
    </w:p>
    <w:p w14:paraId="70EA9733">
      <w:pPr>
        <w:jc w:val="left"/>
        <w:rPr>
          <w:rFonts w:ascii="方正小标宋_GBK" w:eastAsia="方正小标宋_GBK"/>
          <w:sz w:val="44"/>
          <w:szCs w:val="44"/>
        </w:rPr>
      </w:pPr>
      <w:r>
        <w:rPr>
          <w:rFonts w:hint="eastAsia" w:ascii="方正小标宋_GBK" w:eastAsia="方正小标宋_GBK"/>
          <w:sz w:val="44"/>
          <w:szCs w:val="44"/>
        </w:rPr>
        <w:drawing>
          <wp:anchor distT="0" distB="0" distL="114300" distR="114300" simplePos="0" relativeHeight="251660288" behindDoc="0" locked="0" layoutInCell="1" allowOverlap="1">
            <wp:simplePos x="0" y="0"/>
            <wp:positionH relativeFrom="margin">
              <wp:posOffset>-28575</wp:posOffset>
            </wp:positionH>
            <wp:positionV relativeFrom="margin">
              <wp:posOffset>1353185</wp:posOffset>
            </wp:positionV>
            <wp:extent cx="5678805" cy="2867660"/>
            <wp:effectExtent l="0" t="0" r="10795" b="2540"/>
            <wp:wrapTopAndBottom/>
            <wp:docPr id="2" name="图片 2" descr="/Users/yeha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yehan/Desktop/图片1.png图片1"/>
                    <pic:cNvPicPr>
                      <a:picLocks noChangeAspect="1"/>
                    </pic:cNvPicPr>
                  </pic:nvPicPr>
                  <pic:blipFill>
                    <a:blip r:embed="rId7"/>
                    <a:srcRect t="11" b="11"/>
                    <a:stretch>
                      <a:fillRect/>
                    </a:stretch>
                  </pic:blipFill>
                  <pic:spPr>
                    <a:xfrm>
                      <a:off x="0" y="0"/>
                      <a:ext cx="5678805" cy="2867660"/>
                    </a:xfrm>
                    <a:prstGeom prst="rect">
                      <a:avLst/>
                    </a:prstGeom>
                  </pic:spPr>
                </pic:pic>
              </a:graphicData>
            </a:graphic>
          </wp:anchor>
        </w:drawing>
      </w:r>
      <w:r>
        <w:rPr>
          <w:rFonts w:hint="eastAsia" w:ascii="方正小标宋_GBK" w:eastAsia="方正小标宋_GBK"/>
          <w:sz w:val="44"/>
          <w:szCs w:val="44"/>
        </w:rPr>
        <w:br w:type="page"/>
      </w:r>
    </w:p>
    <w:p w14:paraId="72B783A0">
      <w:pPr>
        <w:spacing w:line="720" w:lineRule="exact"/>
        <w:ind w:firstLine="880" w:firstLineChars="200"/>
        <w:jc w:val="left"/>
        <w:rPr>
          <w:rFonts w:ascii="方正小标宋_GBK" w:eastAsia="方正小标宋_GBK"/>
          <w:sz w:val="44"/>
          <w:szCs w:val="44"/>
        </w:rPr>
      </w:pPr>
      <w:r>
        <w:rPr>
          <w:rFonts w:hint="eastAsia" w:ascii="方正小标宋_GBK" w:eastAsia="方正小标宋_GBK"/>
          <w:sz w:val="44"/>
          <w:szCs w:val="44"/>
        </w:rPr>
        <w:t>蜻蜓车楼（二层）</w:t>
      </w:r>
    </w:p>
    <w:p w14:paraId="054173F6">
      <w:pPr>
        <w:rPr>
          <w:rFonts w:ascii="方正小标宋_GBK" w:eastAsia="方正小标宋_GBK"/>
        </w:rPr>
      </w:pPr>
    </w:p>
    <w:p w14:paraId="3B0A47F5">
      <w:pPr>
        <w:rPr>
          <w:rFonts w:ascii="方正小标宋_GBK" w:eastAsia="方正小标宋_GBK"/>
        </w:rPr>
      </w:pPr>
      <w:r>
        <w:rPr>
          <w:rFonts w:hint="eastAsia" w:ascii="方正小标宋_GBK" w:eastAsia="方正小标宋_GBK"/>
          <w:sz w:val="44"/>
          <w:szCs w:val="44"/>
        </w:rPr>
        <w:drawing>
          <wp:anchor distT="0" distB="0" distL="114300" distR="114300" simplePos="0" relativeHeight="251661312" behindDoc="0" locked="0" layoutInCell="1" allowOverlap="1">
            <wp:simplePos x="0" y="0"/>
            <wp:positionH relativeFrom="margin">
              <wp:posOffset>-205740</wp:posOffset>
            </wp:positionH>
            <wp:positionV relativeFrom="margin">
              <wp:posOffset>908050</wp:posOffset>
            </wp:positionV>
            <wp:extent cx="5820410" cy="3029585"/>
            <wp:effectExtent l="0" t="0" r="21590" b="18415"/>
            <wp:wrapSquare wrapText="bothSides"/>
            <wp:docPr id="3" name="图片 3" descr="/Users/yehan/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yehan/Desktop/图片2.png图片2"/>
                    <pic:cNvPicPr>
                      <a:picLocks noChangeAspect="1"/>
                    </pic:cNvPicPr>
                  </pic:nvPicPr>
                  <pic:blipFill>
                    <a:blip r:embed="rId8"/>
                    <a:srcRect t="1833" b="1833"/>
                    <a:stretch>
                      <a:fillRect/>
                    </a:stretch>
                  </pic:blipFill>
                  <pic:spPr>
                    <a:xfrm>
                      <a:off x="0" y="0"/>
                      <a:ext cx="5820410" cy="3029585"/>
                    </a:xfrm>
                    <a:prstGeom prst="rect">
                      <a:avLst/>
                    </a:prstGeom>
                  </pic:spPr>
                </pic:pic>
              </a:graphicData>
            </a:graphic>
          </wp:anchor>
        </w:drawing>
      </w:r>
    </w:p>
    <w:p w14:paraId="14776690">
      <w:pPr>
        <w:rPr>
          <w:rFonts w:ascii="方正小标宋_GBK" w:eastAsia="方正小标宋_GBK"/>
        </w:rPr>
      </w:pPr>
    </w:p>
    <w:p w14:paraId="43A64CA6">
      <w:pPr>
        <w:rPr>
          <w:rFonts w:ascii="方正小标宋_GBK" w:eastAsia="方正小标宋_GBK"/>
        </w:rPr>
      </w:pPr>
    </w:p>
    <w:p w14:paraId="5DD747D5">
      <w:pPr>
        <w:rPr>
          <w:rFonts w:ascii="方正小标宋_GBK" w:eastAsia="方正小标宋_GBK"/>
          <w:sz w:val="44"/>
          <w:szCs w:val="44"/>
        </w:rPr>
      </w:pPr>
    </w:p>
    <w:p w14:paraId="26EB93D1"/>
    <w:p w14:paraId="36927FCF"/>
    <w:p w14:paraId="2D3DFB99"/>
    <w:p w14:paraId="3DE9D66D"/>
    <w:p w14:paraId="4ED3F621"/>
    <w:p w14:paraId="3496245C"/>
    <w:p w14:paraId="7EFDA520"/>
    <w:p w14:paraId="63B4B64F"/>
    <w:p w14:paraId="26C2CDF1">
      <w:pPr>
        <w:spacing w:line="720" w:lineRule="exact"/>
        <w:jc w:val="left"/>
      </w:pPr>
    </w:p>
    <w:p w14:paraId="1A6356D8">
      <w:pPr>
        <w:jc w:val="center"/>
        <w:rPr>
          <w:rFonts w:ascii="方正小标宋_GBK" w:eastAsia="方正小标宋_GBK"/>
          <w:sz w:val="44"/>
          <w:szCs w:val="44"/>
        </w:rPr>
      </w:pPr>
      <w:r>
        <w:rPr>
          <w:rFonts w:hint="eastAsia" w:ascii="方正小标宋_GBK" w:eastAsia="方正小标宋_GBK"/>
          <w:sz w:val="44"/>
          <w:szCs w:val="44"/>
        </w:rPr>
        <w:br w:type="page"/>
      </w:r>
    </w:p>
    <w:p w14:paraId="70074A19">
      <w:pPr>
        <w:rPr>
          <w:rFonts w:ascii="仿宋_GB2312" w:eastAsia="仿宋_GB2312"/>
          <w:sz w:val="32"/>
          <w:szCs w:val="32"/>
        </w:rPr>
      </w:pPr>
      <w:r>
        <w:rPr>
          <w:rFonts w:hint="eastAsia" w:ascii="仿宋_GB2312" w:eastAsia="仿宋_GB2312"/>
          <w:sz w:val="32"/>
          <w:szCs w:val="32"/>
        </w:rPr>
        <w:t>附件：租赁场地交付确认书</w:t>
      </w:r>
    </w:p>
    <w:p w14:paraId="62B292AC">
      <w:pPr>
        <w:jc w:val="center"/>
        <w:rPr>
          <w:rFonts w:ascii="方正小标宋_GBK" w:eastAsia="方正小标宋_GBK"/>
          <w:sz w:val="44"/>
          <w:szCs w:val="44"/>
        </w:rPr>
      </w:pPr>
      <w:r>
        <w:rPr>
          <w:rFonts w:hint="eastAsia" w:ascii="方正小标宋_GBK" w:eastAsia="方正小标宋_GBK"/>
          <w:sz w:val="44"/>
          <w:szCs w:val="44"/>
        </w:rPr>
        <w:t>租赁场地交付确认书</w:t>
      </w:r>
    </w:p>
    <w:p w14:paraId="77B1B868">
      <w:pPr>
        <w:tabs>
          <w:tab w:val="left" w:pos="1320"/>
        </w:tabs>
        <w:jc w:val="center"/>
        <w:rPr>
          <w:rFonts w:hint="eastAsia" w:ascii="宋体" w:hAnsi="宋体"/>
          <w:b/>
          <w:szCs w:val="21"/>
        </w:rPr>
      </w:pPr>
    </w:p>
    <w:p w14:paraId="77FC6B82">
      <w:pPr>
        <w:tabs>
          <w:tab w:val="left" w:pos="1320"/>
        </w:tabs>
        <w:rPr>
          <w:rFonts w:hint="eastAsia" w:ascii="宋体" w:hAnsi="宋体"/>
          <w:szCs w:val="21"/>
        </w:rPr>
      </w:pPr>
    </w:p>
    <w:p w14:paraId="29B552A3">
      <w:pPr>
        <w:tabs>
          <w:tab w:val="left" w:pos="132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出租方（甲方）：</w:t>
      </w:r>
    </w:p>
    <w:p w14:paraId="2C300D29">
      <w:pPr>
        <w:tabs>
          <w:tab w:val="left" w:pos="1320"/>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承租方（乙方）：</w:t>
      </w:r>
    </w:p>
    <w:p w14:paraId="4A759E7B">
      <w:pPr>
        <w:tabs>
          <w:tab w:val="left" w:pos="1320"/>
        </w:tabs>
        <w:spacing w:line="360" w:lineRule="auto"/>
        <w:ind w:firstLine="960" w:firstLineChars="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根据甲乙双方签订的租赁合同的相关条款，甲乙双方在</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日对租赁场所（位于</w:t>
      </w:r>
      <w:r>
        <w:rPr>
          <w:rFonts w:hint="eastAsia" w:ascii="仿宋_GB2312" w:hAnsi="仿宋_GB2312" w:eastAsia="仿宋_GB2312" w:cs="仿宋_GB2312"/>
          <w:sz w:val="32"/>
          <w:szCs w:val="32"/>
          <w:u w:val="single"/>
        </w:rPr>
        <w:t>杭州市上城区庆秋弄9号的蜻蜓车楼一层2号芯筒，二层2、4号芯筒</w:t>
      </w:r>
      <w:r>
        <w:rPr>
          <w:rFonts w:hint="eastAsia" w:ascii="仿宋_GB2312" w:hAnsi="仿宋_GB2312" w:eastAsia="仿宋_GB2312" w:cs="仿宋_GB2312"/>
          <w:sz w:val="32"/>
          <w:szCs w:val="32"/>
        </w:rPr>
        <w:t>）进行交接验收。</w:t>
      </w:r>
    </w:p>
    <w:p w14:paraId="1D4DC48E">
      <w:pPr>
        <w:pStyle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上述租赁范围内的费用情况如下：</w:t>
      </w:r>
    </w:p>
    <w:p w14:paraId="4B7A3654">
      <w:pPr>
        <w:pStyle w:val="2"/>
        <w:numPr>
          <w:ilvl w:val="0"/>
          <w:numId w:val="1"/>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水费：截止    年  月  日止码为：</w:t>
      </w:r>
    </w:p>
    <w:p w14:paraId="2A831DF1">
      <w:pPr>
        <w:pStyle w:val="2"/>
        <w:numPr>
          <w:ilvl w:val="0"/>
          <w:numId w:val="1"/>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电费：截止    年  月  日止码为：</w:t>
      </w:r>
    </w:p>
    <w:p w14:paraId="03206FD6">
      <w:pPr>
        <w:pStyle w:val="2"/>
        <w:numPr>
          <w:ilvl w:val="0"/>
          <w:numId w:val="1"/>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煤气费：截止    年  月  日止码为：</w:t>
      </w:r>
    </w:p>
    <w:p w14:paraId="0E6F0A96">
      <w:pPr>
        <w:pStyle w:val="2"/>
        <w:numPr>
          <w:ilvl w:val="0"/>
          <w:numId w:val="1"/>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物业管理费：已缴纳至  年  月  日：</w:t>
      </w:r>
    </w:p>
    <w:p w14:paraId="54F5C58E">
      <w:pPr>
        <w:tabs>
          <w:tab w:val="left" w:pos="1320"/>
        </w:tabs>
        <w:spacing w:line="360" w:lineRule="auto"/>
        <w:ind w:firstLine="36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经现场核实确认，甲方交付的租赁场所符合租赁合同的约定，乙方对此没有异议；自本确认书签署之日起，甲方正式移交且乙方正式接收租赁场地。</w:t>
      </w:r>
    </w:p>
    <w:p w14:paraId="73A8B7BE">
      <w:pPr>
        <w:pStyle w:val="2"/>
        <w:rPr>
          <w:rFonts w:hint="eastAsia" w:ascii="仿宋_GB2312" w:hAnsi="仿宋_GB2312" w:eastAsia="仿宋_GB2312" w:cs="仿宋_GB2312"/>
          <w:sz w:val="32"/>
          <w:szCs w:val="32"/>
        </w:rPr>
      </w:pPr>
    </w:p>
    <w:p w14:paraId="2A9DE817">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                      乙方：</w:t>
      </w:r>
    </w:p>
    <w:p w14:paraId="06DD7BC6">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授权代表：                  授权代表：</w:t>
      </w:r>
    </w:p>
    <w:p w14:paraId="79E1FDFE">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                      电话：</w:t>
      </w:r>
    </w:p>
    <w:p w14:paraId="6DD9F9C6">
      <w:pPr>
        <w:spacing w:line="560" w:lineRule="exact"/>
        <w:ind w:firstLine="4480" w:firstLineChars="1400"/>
      </w:pPr>
      <w:r>
        <w:rPr>
          <w:rFonts w:hint="eastAsia" w:ascii="仿宋_GB2312" w:hAnsi="仿宋_GB2312" w:eastAsia="仿宋_GB2312" w:cs="仿宋_GB2312"/>
          <w:sz w:val="32"/>
          <w:szCs w:val="32"/>
        </w:rPr>
        <w:t>签约日期：    年  月  日</w:t>
      </w:r>
    </w:p>
    <w:p w14:paraId="5E500E8C">
      <w:pPr>
        <w:rPr>
          <w:rFonts w:ascii="仿宋_GB2312" w:eastAsia="仿宋_GB2312"/>
          <w:sz w:val="32"/>
          <w:szCs w:val="32"/>
        </w:rPr>
      </w:pPr>
      <w:r>
        <w:rPr>
          <w:rFonts w:ascii="仿宋_GB2312" w:eastAsia="仿宋_GB2312"/>
          <w:sz w:val="32"/>
          <w:szCs w:val="32"/>
        </w:rPr>
        <w:br w:type="page"/>
      </w:r>
    </w:p>
    <w:p w14:paraId="404B072C">
      <w:pPr>
        <w:autoSpaceDE w:val="0"/>
        <w:autoSpaceDN w:val="0"/>
        <w:adjustRightInd w:val="0"/>
        <w:snapToGrid w:val="0"/>
        <w:spacing w:line="560" w:lineRule="exact"/>
        <w:rPr>
          <w:rFonts w:hint="eastAsia" w:ascii="仿宋_GB2312" w:eastAsia="仿宋_GB2312" w:cs="宋体" w:hAnsiTheme="majorEastAsia"/>
          <w:kern w:val="0"/>
          <w:sz w:val="24"/>
        </w:rPr>
      </w:pPr>
      <w:r>
        <w:rPr>
          <w:rFonts w:hint="eastAsia" w:ascii="仿宋_GB2312" w:eastAsia="仿宋_GB2312"/>
          <w:sz w:val="32"/>
          <w:szCs w:val="32"/>
        </w:rPr>
        <w:t>附件：安全生产责任协议</w:t>
      </w:r>
    </w:p>
    <w:p w14:paraId="195EF58F">
      <w:pPr>
        <w:jc w:val="center"/>
        <w:rPr>
          <w:rFonts w:ascii="方正小标宋简体" w:eastAsia="方正小标宋简体"/>
          <w:sz w:val="22"/>
          <w:szCs w:val="28"/>
        </w:rPr>
      </w:pPr>
      <w:r>
        <w:rPr>
          <w:rFonts w:ascii="方正小标宋简体" w:eastAsia="方正小标宋简体"/>
          <w:sz w:val="36"/>
          <w:szCs w:val="44"/>
        </w:rPr>
        <w:t>安全</w:t>
      </w:r>
      <w:r>
        <w:rPr>
          <w:rFonts w:hint="eastAsia" w:ascii="方正小标宋简体" w:eastAsia="方正小标宋简体"/>
          <w:sz w:val="36"/>
          <w:szCs w:val="44"/>
        </w:rPr>
        <w:t>生产</w:t>
      </w:r>
      <w:r>
        <w:rPr>
          <w:rFonts w:ascii="方正小标宋简体" w:eastAsia="方正小标宋简体"/>
          <w:sz w:val="36"/>
          <w:szCs w:val="44"/>
        </w:rPr>
        <w:t>责任</w:t>
      </w:r>
      <w:r>
        <w:rPr>
          <w:rFonts w:hint="eastAsia" w:ascii="方正小标宋简体" w:eastAsia="方正小标宋简体"/>
          <w:sz w:val="36"/>
          <w:szCs w:val="44"/>
        </w:rPr>
        <w:t>协议</w:t>
      </w:r>
    </w:p>
    <w:p w14:paraId="6AFF28DE">
      <w:pPr>
        <w:spacing w:line="312" w:lineRule="auto"/>
        <w:ind w:firstLine="380" w:firstLineChars="181"/>
        <w:rPr>
          <w:rFonts w:ascii="仿宋_GB2312" w:eastAsia="仿宋_GB2312"/>
          <w:szCs w:val="21"/>
          <w:u w:val="single"/>
        </w:rPr>
      </w:pPr>
    </w:p>
    <w:p w14:paraId="59CFB625">
      <w:pPr>
        <w:spacing w:line="312" w:lineRule="auto"/>
        <w:ind w:firstLine="579" w:firstLineChars="181"/>
        <w:rPr>
          <w:rFonts w:ascii="仿宋_GB2312" w:eastAsia="仿宋_GB2312"/>
          <w:sz w:val="32"/>
          <w:szCs w:val="32"/>
          <w:u w:val="single"/>
        </w:rPr>
      </w:pPr>
      <w:r>
        <w:rPr>
          <w:rFonts w:hint="eastAsia" w:ascii="仿宋_GB2312" w:eastAsia="仿宋_GB2312"/>
          <w:sz w:val="32"/>
          <w:szCs w:val="32"/>
          <w:u w:val="single"/>
        </w:rPr>
        <w:t xml:space="preserve">发包方： 杭州市停车产业股份有限公司  </w:t>
      </w:r>
    </w:p>
    <w:p w14:paraId="108BA00E">
      <w:pPr>
        <w:spacing w:line="312" w:lineRule="auto"/>
        <w:ind w:firstLine="579" w:firstLineChars="181"/>
        <w:rPr>
          <w:rFonts w:ascii="仿宋_GB2312" w:eastAsia="仿宋_GB2312"/>
          <w:sz w:val="32"/>
          <w:szCs w:val="32"/>
          <w:u w:val="single"/>
        </w:rPr>
      </w:pPr>
      <w:r>
        <w:rPr>
          <w:rFonts w:hint="eastAsia" w:ascii="仿宋_GB2312" w:eastAsia="仿宋_GB2312"/>
          <w:sz w:val="32"/>
          <w:szCs w:val="32"/>
          <w:u w:val="single"/>
        </w:rPr>
        <w:t xml:space="preserve">服务方：                            </w:t>
      </w:r>
      <w:r>
        <w:rPr>
          <w:rFonts w:ascii="仿宋_GB2312" w:eastAsia="仿宋_GB2312"/>
          <w:sz w:val="32"/>
          <w:szCs w:val="32"/>
          <w:u w:val="single"/>
        </w:rPr>
        <w:t xml:space="preserve"> </w:t>
      </w:r>
    </w:p>
    <w:p w14:paraId="5788012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华人民共和国安全生产法》《浙江省安全生产管理条例》《杭州市生产经营单位安全生产主体责任规定》等相关条款规定，生产经营单位将生产经营项目、场所、设备发包或者出租给其他单位、个人从事生产经营活动的，应当与承包方或者服务方签订安全生产管理协议。结合停车场库运营管理的实际情况，为严格履行有关法律规定，切实加强各租赁主体的安全管理意识，明确双方安全管理职责，特签订本责任协议，具体内容如下。</w:t>
      </w:r>
    </w:p>
    <w:p w14:paraId="17A19E6C">
      <w:pPr>
        <w:ind w:firstLine="640" w:firstLineChars="200"/>
        <w:rPr>
          <w:rFonts w:hint="eastAsia" w:ascii="黑体" w:hAnsi="黑体" w:eastAsia="黑体" w:cs="黑体"/>
          <w:sz w:val="32"/>
          <w:szCs w:val="32"/>
        </w:rPr>
      </w:pPr>
      <w:r>
        <w:rPr>
          <w:rFonts w:hint="eastAsia" w:ascii="黑体" w:hAnsi="黑体" w:eastAsia="黑体" w:cs="黑体"/>
          <w:sz w:val="32"/>
          <w:szCs w:val="32"/>
        </w:rPr>
        <w:t>一、服务方职责</w:t>
      </w:r>
    </w:p>
    <w:p w14:paraId="2E4759D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1.严格遵守《中华人民共和国安全生产法》，及省市各级安全生产相关法律法规及地方规章制度，服务方主要负责人须严格履行企业安全生产中的责任和义务，全面负责、管控经营过程中的各项安全生产工作。</w:t>
      </w:r>
    </w:p>
    <w:p w14:paraId="024F822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2.合法、合规经营，未取得相关证照前不得擅自营业；不得超出证照核准登记的经营范围或擅自从事应当取得许可证及其他批准文件方可从事的生产经营活动等。</w:t>
      </w:r>
    </w:p>
    <w:p w14:paraId="3F41BABC">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停车场严格执行巡检制度，积极配合发包方及相关职能管理部门对所承租房屋、场地、车位的安全及消防工作的指导、检查。若发现有安全隐患，发包方将下达整改通知书。服务方在收到整改通知后，应立即按照整改通知进行整改。对存在的问题限期落实整改，如无法立即落实整改的，必须布置落实相应的防范措施，以防意外发生。</w:t>
      </w:r>
    </w:p>
    <w:p w14:paraId="57A5959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服务方应做好承租房屋、场地、车位的安全防范工作，不断加强安防硬件建设，规范落实安全防范措施，做到“六不发生”（即：不发生生产经营事故、不发生各类火警火灾事故、不发生人身伤亡事故、不发生治安案件、不发生经济案件、不发生公共卫生案件。）</w:t>
      </w:r>
    </w:p>
    <w:p w14:paraId="0668A3CA">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5.服务方应落实安全管理专职（兼职）人员，每月开展不少于一次的安全检查，负责人应对其检查情况负责，督促对发现的问题及时落实整改，隐患闭环，并做记录、入档留存。</w:t>
      </w:r>
    </w:p>
    <w:p w14:paraId="77603F5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年度周期内要采取多种形式开展防火救灾安全宣教，落实消防安全管理制度及防范措施，保证承租场地内的消防灭火器与自防自救系统有效到位，须对灭火器、消火栓等消防设施进行定期自检，现场留存自检记录，并确保灭火器在有效期范围内使用。从业人员具备消防基础知识，明确防火安全重点部位，并落实有效的安全责任和管控措施。</w:t>
      </w:r>
    </w:p>
    <w:p w14:paraId="426BE1D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食品经营企业要严格遵守《食品安全法》、《浙江省实施&lt;食品安全法&gt;办法》等相关法律法规的规定，严格做好经营人员的健康证和食品经营许可证等行政审批手续的办理工作，加强现场的卫生保洁工作，确保食品质量符合执行标准要求。</w:t>
      </w:r>
    </w:p>
    <w:p w14:paraId="3FC32C0D">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8.服务方需改动电气线路走向、承重结构变化、消防设施设备挪位或改动，需取得发包方的书面同意，并取得相关部门批准；现场消防安全设施设备不得擅自改动。</w:t>
      </w:r>
    </w:p>
    <w:p w14:paraId="3D7DC4B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9.服务方聘请的所有在该场地工作的人员要熟知“三知”（知防火知识、知灭火知识、知火警的电话）和“四会”（会报警、会使用正确灭火器材、会扑救初期火灾、会疏散自救）</w:t>
      </w:r>
    </w:p>
    <w:p w14:paraId="1CF17495">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如服务方要在场地内施工，需根据管理规范要求，提报申请流程，经发包方书面同意后方可施工。若未事先申请，停车场禁止非工作人员进入场地施工；施工有动火、登高等危险作业的，必须取得相关的作业许可证，并在发包方人员监管下作业。</w:t>
      </w:r>
    </w:p>
    <w:p w14:paraId="76123D8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针对特种设备（锅炉、压力容器、电梯等）使用，服务方必须按照《特种设备安全监察条例》规定，建立特种设备安全管理制度和特种设备操作规程，增设专职管理员、持证上岗，做好特种设备的日常维修和年检，定期对作业人员进行操作规程的培训。</w:t>
      </w:r>
    </w:p>
    <w:p w14:paraId="34CEAC1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12.禁止服务方在租赁区域内存放易燃易爆危化品和大量可燃助燃物品。遵守发包方的出租管理规定，在承租场地中禁止存在违规住宿和“三合一”“多合一”等情况。</w:t>
      </w:r>
    </w:p>
    <w:p w14:paraId="77AC1483">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13.服务方不得占用堵塞消防通道，保证消防通道顺畅。严禁擅自动用、损坏公共区域所配置的消防器材、设施设备。严禁私拉修改电路。</w:t>
      </w:r>
    </w:p>
    <w:p w14:paraId="1F9BEDF6">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服务方应当遵守《浙江省房屋使用安全管理条例》，作为房屋使用安全责任人，履行房屋使用安全管理有关职责和义务，承担房屋使用安全责任，不得实施任何给房屋造成安全隐患的行为。在承租期内，服务方不得在房屋内进行黄赌毒、传销等违法活动，不得在房屋内发布危害国家安全的信息和程序，并且应妥善、安全地使用房屋相关设施设备。</w:t>
      </w:r>
    </w:p>
    <w:p w14:paraId="3C04C05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15.因违反本协议有关规定，导致发生安全生产事故、消防安全事件的，服务方应当自行承担包括但不限于经济赔偿等法律责任；发包方由此而承担法律责任的，有权向服务方追偿。</w:t>
      </w:r>
    </w:p>
    <w:p w14:paraId="1D52EE58">
      <w:pPr>
        <w:numPr>
          <w:ilvl w:val="255"/>
          <w:numId w:val="0"/>
        </w:numPr>
        <w:spacing w:line="312" w:lineRule="auto"/>
        <w:ind w:firstLine="579" w:firstLineChars="181"/>
        <w:rPr>
          <w:rFonts w:hint="eastAsia" w:ascii="黑体" w:hAnsi="黑体" w:eastAsia="黑体" w:cs="黑体"/>
          <w:sz w:val="32"/>
          <w:szCs w:val="32"/>
        </w:rPr>
      </w:pPr>
      <w:r>
        <w:rPr>
          <w:rFonts w:hint="eastAsia" w:ascii="黑体" w:hAnsi="黑体" w:eastAsia="黑体" w:cs="黑体"/>
          <w:sz w:val="32"/>
          <w:szCs w:val="32"/>
        </w:rPr>
        <w:t>二、发包方职责</w:t>
      </w:r>
    </w:p>
    <w:p w14:paraId="118E76AB">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1.发包方应确保租赁物的结构安全，不得存在危及服务方人身、财产安全的隐患。</w:t>
      </w:r>
    </w:p>
    <w:p w14:paraId="216B49A7">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2.发包方有权督促服务方的安全生产工作，发现不安全的地方有权立即指出和制止，并提出整改要求，服务方需要立即执行并在合理时间内进行整改。</w:t>
      </w:r>
    </w:p>
    <w:p w14:paraId="2BF542BE">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3.发包方应确保租赁物的消防设施、电气设备等安全设施处于正常工作状态，并符合相关法律法规的要求。</w:t>
      </w:r>
    </w:p>
    <w:p w14:paraId="7B0E39E7">
      <w:pPr>
        <w:spacing w:line="312" w:lineRule="auto"/>
        <w:ind w:firstLine="579" w:firstLineChars="181"/>
        <w:rPr>
          <w:rFonts w:hint="eastAsia" w:ascii="仿宋_GB2312" w:hAnsi="仿宋_GB2312" w:eastAsia="仿宋_GB2312" w:cs="仿宋_GB2312"/>
          <w:sz w:val="32"/>
          <w:szCs w:val="32"/>
        </w:rPr>
      </w:pPr>
      <w:bookmarkStart w:id="0" w:name="_Hlk116466093"/>
      <w:r>
        <w:rPr>
          <w:rFonts w:hint="eastAsia" w:ascii="黑体" w:hAnsi="黑体" w:eastAsia="黑体" w:cs="黑体"/>
          <w:sz w:val="32"/>
          <w:szCs w:val="32"/>
        </w:rPr>
        <w:t>三、服务方地址：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6BD04CAD">
      <w:pPr>
        <w:spacing w:line="312" w:lineRule="auto"/>
        <w:ind w:firstLine="579" w:firstLineChars="18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服务方安全责任人：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u w:val="single"/>
        </w:rPr>
        <w:t xml:space="preserve">             。</w:t>
      </w:r>
    </w:p>
    <w:p w14:paraId="311A6922">
      <w:pPr>
        <w:spacing w:line="312" w:lineRule="auto"/>
        <w:ind w:firstLine="579" w:firstLineChars="181"/>
        <w:rPr>
          <w:rFonts w:hint="eastAsia" w:ascii="仿宋_GB2312" w:hAnsi="仿宋_GB2312" w:eastAsia="仿宋_GB2312" w:cs="仿宋_GB2312"/>
          <w:sz w:val="32"/>
          <w:szCs w:val="32"/>
        </w:rPr>
      </w:pPr>
      <w:r>
        <w:rPr>
          <w:rFonts w:hint="eastAsia" w:ascii="黑体" w:hAnsi="黑体" w:eastAsia="黑体" w:cs="黑体"/>
          <w:sz w:val="32"/>
          <w:szCs w:val="32"/>
        </w:rPr>
        <w:t>四、协议期限：</w:t>
      </w:r>
      <w:r>
        <w:rPr>
          <w:rFonts w:hint="eastAsia" w:ascii="仿宋_GB2312" w:hAnsi="仿宋_GB2312" w:eastAsia="仿宋_GB2312" w:cs="仿宋_GB2312"/>
          <w:sz w:val="32"/>
          <w:szCs w:val="32"/>
        </w:rPr>
        <w:t>自</w:t>
      </w:r>
      <w:r>
        <w:rPr>
          <w:rFonts w:hint="eastAsia" w:ascii="仿宋_GB2312" w:hAnsi="仿宋_GB2312" w:eastAsia="仿宋_GB2312" w:cs="仿宋_GB2312"/>
          <w:bCs/>
          <w:sz w:val="32"/>
          <w:szCs w:val="32"/>
        </w:rPr>
        <w:t>签订之日起日至双方租赁期结束</w:t>
      </w:r>
      <w:r>
        <w:rPr>
          <w:rFonts w:hint="eastAsia" w:ascii="仿宋_GB2312" w:hAnsi="仿宋_GB2312" w:eastAsia="仿宋_GB2312" w:cs="仿宋_GB2312"/>
          <w:sz w:val="32"/>
          <w:szCs w:val="32"/>
        </w:rPr>
        <w:t>。到期后，未签署新的安全生产责任协议前，本协议自动续效。如租赁合同在该期限内到期或提前解除的，本协议自动失效。</w:t>
      </w:r>
    </w:p>
    <w:p w14:paraId="5D400090">
      <w:pPr>
        <w:spacing w:line="312" w:lineRule="auto"/>
        <w:ind w:firstLine="579" w:firstLineChars="181"/>
        <w:rPr>
          <w:rFonts w:hint="eastAsia" w:ascii="仿宋_GB2312" w:hAnsi="仿宋_GB2312" w:eastAsia="仿宋_GB2312" w:cs="仿宋_GB2312"/>
          <w:sz w:val="32"/>
          <w:szCs w:val="32"/>
        </w:rPr>
      </w:pPr>
      <w:r>
        <w:rPr>
          <w:rFonts w:hint="eastAsia" w:ascii="黑体" w:hAnsi="黑体" w:eastAsia="黑体" w:cs="黑体"/>
          <w:sz w:val="32"/>
          <w:szCs w:val="32"/>
        </w:rPr>
        <w:t>五、其他：</w:t>
      </w:r>
      <w:r>
        <w:rPr>
          <w:rFonts w:hint="eastAsia" w:ascii="仿宋_GB2312" w:hAnsi="仿宋_GB2312" w:eastAsia="仿宋_GB2312" w:cs="仿宋_GB2312"/>
          <w:sz w:val="32"/>
          <w:szCs w:val="32"/>
        </w:rPr>
        <w:t>当发生经营生产事故（事件）、火灾火情或影响周边居民环境等紧急事故（事件）时，除第一时间向公安消防等应急职能部门通报救险外，服务方还需在5分钟内向发包方进行报告。</w:t>
      </w:r>
    </w:p>
    <w:bookmarkEnd w:id="0"/>
    <w:p w14:paraId="7B626B87">
      <w:pPr>
        <w:adjustRightInd w:val="0"/>
        <w:snapToGrid w:val="0"/>
        <w:spacing w:line="360" w:lineRule="auto"/>
        <w:ind w:firstLine="640" w:firstLineChars="200"/>
        <w:rPr>
          <w:rFonts w:hint="eastAsia" w:ascii="仿宋_GB2312" w:hAnsi="仿宋_GB2312" w:eastAsia="仿宋_GB2312" w:cs="仿宋_GB2312"/>
          <w:sz w:val="32"/>
          <w:szCs w:val="32"/>
        </w:rPr>
      </w:pPr>
      <w:bookmarkStart w:id="1" w:name="_Hlk116466856"/>
      <w:r>
        <w:rPr>
          <w:rFonts w:hint="eastAsia" w:ascii="仿宋_GB2312" w:hAnsi="仿宋_GB2312" w:eastAsia="仿宋_GB2312" w:cs="仿宋_GB2312"/>
          <w:sz w:val="32"/>
          <w:szCs w:val="32"/>
        </w:rPr>
        <w:t>本责任书一式贰份，双方各执壹份，自双方签字或盖章之日起生效。</w:t>
      </w:r>
    </w:p>
    <w:bookmarkEnd w:id="1"/>
    <w:p w14:paraId="09C4045F">
      <w:pPr>
        <w:spacing w:line="312" w:lineRule="auto"/>
        <w:jc w:val="left"/>
        <w:rPr>
          <w:rFonts w:hint="eastAsia" w:ascii="仿宋_GB2312" w:hAnsi="仿宋_GB2312" w:eastAsia="仿宋_GB2312" w:cs="仿宋_GB2312"/>
          <w:sz w:val="32"/>
          <w:szCs w:val="32"/>
        </w:rPr>
      </w:pPr>
    </w:p>
    <w:p w14:paraId="3FE85A66">
      <w:pPr>
        <w:spacing w:line="312" w:lineRule="auto"/>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发包方：杭州市停车产业股份有限公司</w:t>
      </w:r>
    </w:p>
    <w:p w14:paraId="4FE0C323">
      <w:pPr>
        <w:spacing w:line="312" w:lineRule="auto"/>
        <w:ind w:firstLine="1600" w:firstLineChars="5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7CAAE583">
      <w:pPr>
        <w:spacing w:line="312" w:lineRule="auto"/>
        <w:jc w:val="right"/>
        <w:rPr>
          <w:rFonts w:hint="eastAsia" w:ascii="仿宋_GB2312" w:hAnsi="仿宋_GB2312" w:eastAsia="仿宋_GB2312" w:cs="仿宋_GB2312"/>
          <w:sz w:val="32"/>
          <w:szCs w:val="32"/>
        </w:rPr>
      </w:pPr>
    </w:p>
    <w:p w14:paraId="4333BD96">
      <w:pPr>
        <w:spacing w:line="312" w:lineRule="auto"/>
        <w:jc w:val="right"/>
        <w:rPr>
          <w:rFonts w:hint="eastAsia" w:ascii="仿宋_GB2312" w:hAnsi="仿宋_GB2312" w:eastAsia="仿宋_GB2312" w:cs="仿宋_GB2312"/>
          <w:sz w:val="32"/>
          <w:szCs w:val="32"/>
        </w:rPr>
      </w:pPr>
    </w:p>
    <w:p w14:paraId="32FD0C05">
      <w:pPr>
        <w:spacing w:line="312" w:lineRule="auto"/>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服务方： </w:t>
      </w:r>
    </w:p>
    <w:p w14:paraId="30C2DE34">
      <w:pPr>
        <w:spacing w:line="312" w:lineRule="auto"/>
        <w:ind w:firstLine="1600" w:firstLineChars="5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3ED3482F">
      <w:pPr>
        <w:pStyle w:val="2"/>
        <w:ind w:firstLine="0"/>
      </w:pPr>
    </w:p>
    <w:sectPr>
      <w:footerReference r:id="rId5" w:type="first"/>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FC5229-BFDF-4527-BAA2-8C499103CCE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93" w:csb1="00000000"/>
  </w:font>
  <w:font w:name="仿宋_GB2312">
    <w:panose1 w:val="02010609030101010101"/>
    <w:charset w:val="86"/>
    <w:family w:val="modern"/>
    <w:pitch w:val="default"/>
    <w:sig w:usb0="00000001" w:usb1="080E0000" w:usb2="00000000" w:usb3="00000000" w:csb0="00040000" w:csb1="00000000"/>
    <w:embedRegular r:id="rId2" w:fontKey="{9964CB66-323C-4A35-98CC-6F2BD3EF8BF9}"/>
  </w:font>
  <w:font w:name="方正小标宋_GBK">
    <w:panose1 w:val="02000000000000000000"/>
    <w:charset w:val="86"/>
    <w:family w:val="script"/>
    <w:pitch w:val="default"/>
    <w:sig w:usb0="A00002BF" w:usb1="38CF7CFA" w:usb2="00082016" w:usb3="00000000" w:csb0="00040001" w:csb1="00000000"/>
    <w:embedRegular r:id="rId3" w:fontKey="{06B3D40F-5363-47ED-B7F3-6A81AA925E7D}"/>
  </w:font>
  <w:font w:name="仿宋">
    <w:panose1 w:val="02010609060101010101"/>
    <w:charset w:val="86"/>
    <w:family w:val="modern"/>
    <w:pitch w:val="default"/>
    <w:sig w:usb0="800002BF" w:usb1="38CF7CFA" w:usb2="00000016" w:usb3="00000000" w:csb0="00040001" w:csb1="00000000"/>
    <w:embedRegular r:id="rId4" w:fontKey="{D8500573-407D-4B6C-BE8A-8014979D5E60}"/>
  </w:font>
  <w:font w:name="Times New Roman Regular">
    <w:altName w:val="Times New Roman"/>
    <w:panose1 w:val="00000000000000000000"/>
    <w:charset w:val="00"/>
    <w:family w:val="auto"/>
    <w:pitch w:val="default"/>
    <w:sig w:usb0="00000000" w:usb1="00000000" w:usb2="00000001" w:usb3="00000000" w:csb0="400001BF" w:csb1="DFF70000"/>
    <w:embedRegular r:id="rId5" w:fontKey="{8FAE4EA9-6C21-43E7-9ADD-FD6119F5ADE2}"/>
  </w:font>
  <w:font w:name="方正小标宋简体">
    <w:panose1 w:val="02000000000000000000"/>
    <w:charset w:val="86"/>
    <w:family w:val="script"/>
    <w:pitch w:val="default"/>
    <w:sig w:usb0="00000001" w:usb1="08000000" w:usb2="00000000" w:usb3="00000000" w:csb0="00040000" w:csb1="00000000"/>
    <w:embedRegular r:id="rId6" w:fontKey="{F312D28F-8314-4179-8EB2-3727358C23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A0DE2">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5FE50D">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45FE50D">
                    <w:pPr>
                      <w:pStyle w:val="6"/>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036104"/>
    </w:sdtPr>
    <w:sdtContent>
      <w:p w14:paraId="03633461">
        <w:pPr>
          <w:pStyle w:val="6"/>
          <w:jc w:val="center"/>
        </w:pPr>
        <w:r>
          <w:fldChar w:fldCharType="begin"/>
        </w:r>
        <w:r>
          <w:instrText xml:space="preserve"> PAGE   \* MERGEFORMAT </w:instrText>
        </w:r>
        <w:r>
          <w:fldChar w:fldCharType="separate"/>
        </w:r>
        <w:r>
          <w:rPr>
            <w:lang w:val="zh-CN"/>
          </w:rPr>
          <w:t>12</w:t>
        </w:r>
        <w:r>
          <w:fldChar w:fldCharType="end"/>
        </w:r>
      </w:p>
    </w:sdtContent>
  </w:sdt>
  <w:p w14:paraId="0FDD260A">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036109"/>
    </w:sdtPr>
    <w:sdtContent>
      <w:p w14:paraId="1CAAB5CC">
        <w:pPr>
          <w:pStyle w:val="6"/>
          <w:jc w:val="center"/>
        </w:pPr>
        <w:r>
          <w:fldChar w:fldCharType="begin"/>
        </w:r>
        <w:r>
          <w:instrText xml:space="preserve"> PAGE   \* MERGEFORMAT </w:instrText>
        </w:r>
        <w:r>
          <w:fldChar w:fldCharType="separate"/>
        </w:r>
        <w:r>
          <w:rPr>
            <w:lang w:val="zh-CN"/>
          </w:rPr>
          <w:t>1</w:t>
        </w:r>
        <w:r>
          <w:fldChar w:fldCharType="end"/>
        </w:r>
      </w:p>
    </w:sdtContent>
  </w:sdt>
  <w:p w14:paraId="5C0D1592">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F63CD7"/>
    <w:multiLevelType w:val="singleLevel"/>
    <w:tmpl w:val="17F63CD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saveSubset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lZTI1ZmIzYzM4ZWVkOTc4OTRlNTFjMjVjNDJhMDAifQ=="/>
  </w:docVars>
  <w:rsids>
    <w:rsidRoot w:val="00476965"/>
    <w:rsid w:val="00002E97"/>
    <w:rsid w:val="00010913"/>
    <w:rsid w:val="00014619"/>
    <w:rsid w:val="00020864"/>
    <w:rsid w:val="00022D50"/>
    <w:rsid w:val="000319B6"/>
    <w:rsid w:val="00032F45"/>
    <w:rsid w:val="00036B9B"/>
    <w:rsid w:val="00037CD2"/>
    <w:rsid w:val="000410D0"/>
    <w:rsid w:val="000470F1"/>
    <w:rsid w:val="00054F67"/>
    <w:rsid w:val="000567BC"/>
    <w:rsid w:val="00061A9C"/>
    <w:rsid w:val="00077B26"/>
    <w:rsid w:val="00080DFB"/>
    <w:rsid w:val="00083E34"/>
    <w:rsid w:val="00086993"/>
    <w:rsid w:val="0009750A"/>
    <w:rsid w:val="000A4F0E"/>
    <w:rsid w:val="000A59F4"/>
    <w:rsid w:val="000A62AA"/>
    <w:rsid w:val="000A6AD7"/>
    <w:rsid w:val="000B3BD3"/>
    <w:rsid w:val="000B4741"/>
    <w:rsid w:val="000C03E3"/>
    <w:rsid w:val="000C040E"/>
    <w:rsid w:val="000D0C0B"/>
    <w:rsid w:val="000D644D"/>
    <w:rsid w:val="000E3470"/>
    <w:rsid w:val="000E4FB0"/>
    <w:rsid w:val="001047BB"/>
    <w:rsid w:val="00105002"/>
    <w:rsid w:val="001053AA"/>
    <w:rsid w:val="0011644E"/>
    <w:rsid w:val="00116F46"/>
    <w:rsid w:val="00120A8F"/>
    <w:rsid w:val="00122BCF"/>
    <w:rsid w:val="00123617"/>
    <w:rsid w:val="00130B42"/>
    <w:rsid w:val="001332A2"/>
    <w:rsid w:val="00136B20"/>
    <w:rsid w:val="00141419"/>
    <w:rsid w:val="00143C35"/>
    <w:rsid w:val="00165F55"/>
    <w:rsid w:val="001708C5"/>
    <w:rsid w:val="00170E43"/>
    <w:rsid w:val="00171695"/>
    <w:rsid w:val="00171F4A"/>
    <w:rsid w:val="00174E25"/>
    <w:rsid w:val="00177471"/>
    <w:rsid w:val="001801E5"/>
    <w:rsid w:val="00180580"/>
    <w:rsid w:val="00180ED5"/>
    <w:rsid w:val="00185D37"/>
    <w:rsid w:val="00186867"/>
    <w:rsid w:val="00191D2A"/>
    <w:rsid w:val="00192F0F"/>
    <w:rsid w:val="0019736E"/>
    <w:rsid w:val="001A0412"/>
    <w:rsid w:val="001A4509"/>
    <w:rsid w:val="001A4F32"/>
    <w:rsid w:val="001B09A2"/>
    <w:rsid w:val="001B2605"/>
    <w:rsid w:val="001B3A45"/>
    <w:rsid w:val="001B4E7D"/>
    <w:rsid w:val="001B7B7E"/>
    <w:rsid w:val="001C0A3C"/>
    <w:rsid w:val="001C34A0"/>
    <w:rsid w:val="001C4FF5"/>
    <w:rsid w:val="001C626E"/>
    <w:rsid w:val="001C7592"/>
    <w:rsid w:val="001D0BB0"/>
    <w:rsid w:val="001D2EF1"/>
    <w:rsid w:val="001D4685"/>
    <w:rsid w:val="001D672C"/>
    <w:rsid w:val="001E1A23"/>
    <w:rsid w:val="001F37F4"/>
    <w:rsid w:val="001F5EEC"/>
    <w:rsid w:val="001F6553"/>
    <w:rsid w:val="00200578"/>
    <w:rsid w:val="00205BE4"/>
    <w:rsid w:val="00205C8C"/>
    <w:rsid w:val="0020761E"/>
    <w:rsid w:val="00211067"/>
    <w:rsid w:val="00215678"/>
    <w:rsid w:val="00217F80"/>
    <w:rsid w:val="0022097C"/>
    <w:rsid w:val="002328E8"/>
    <w:rsid w:val="00236285"/>
    <w:rsid w:val="002364D3"/>
    <w:rsid w:val="00240871"/>
    <w:rsid w:val="00241878"/>
    <w:rsid w:val="00253F68"/>
    <w:rsid w:val="002547C6"/>
    <w:rsid w:val="00256264"/>
    <w:rsid w:val="002567E5"/>
    <w:rsid w:val="0026284F"/>
    <w:rsid w:val="002633DF"/>
    <w:rsid w:val="00264997"/>
    <w:rsid w:val="00270416"/>
    <w:rsid w:val="0029065A"/>
    <w:rsid w:val="00293C3D"/>
    <w:rsid w:val="002967BE"/>
    <w:rsid w:val="002A56C9"/>
    <w:rsid w:val="002A65E7"/>
    <w:rsid w:val="002B0E20"/>
    <w:rsid w:val="002B1273"/>
    <w:rsid w:val="002B1B61"/>
    <w:rsid w:val="002B5996"/>
    <w:rsid w:val="002B7E48"/>
    <w:rsid w:val="002C0BC0"/>
    <w:rsid w:val="002C2473"/>
    <w:rsid w:val="002C26FE"/>
    <w:rsid w:val="002C3876"/>
    <w:rsid w:val="002C3A9C"/>
    <w:rsid w:val="002D21E5"/>
    <w:rsid w:val="002D50D7"/>
    <w:rsid w:val="002E0703"/>
    <w:rsid w:val="002E09E9"/>
    <w:rsid w:val="002E346F"/>
    <w:rsid w:val="002E77A1"/>
    <w:rsid w:val="002F2E1A"/>
    <w:rsid w:val="002F3744"/>
    <w:rsid w:val="002F4B9B"/>
    <w:rsid w:val="002F4D11"/>
    <w:rsid w:val="003000DB"/>
    <w:rsid w:val="00304A48"/>
    <w:rsid w:val="00304F0B"/>
    <w:rsid w:val="003073F4"/>
    <w:rsid w:val="00324A3C"/>
    <w:rsid w:val="00331DBF"/>
    <w:rsid w:val="0033329B"/>
    <w:rsid w:val="00337FC8"/>
    <w:rsid w:val="0034111C"/>
    <w:rsid w:val="003420AF"/>
    <w:rsid w:val="00343F3B"/>
    <w:rsid w:val="00344A5A"/>
    <w:rsid w:val="00344BF9"/>
    <w:rsid w:val="00347EDF"/>
    <w:rsid w:val="00352C79"/>
    <w:rsid w:val="00352CB8"/>
    <w:rsid w:val="00361D06"/>
    <w:rsid w:val="00363792"/>
    <w:rsid w:val="00363B70"/>
    <w:rsid w:val="00371C42"/>
    <w:rsid w:val="003741F6"/>
    <w:rsid w:val="00375E32"/>
    <w:rsid w:val="00376D66"/>
    <w:rsid w:val="00377022"/>
    <w:rsid w:val="0038242C"/>
    <w:rsid w:val="00386572"/>
    <w:rsid w:val="00386648"/>
    <w:rsid w:val="00390368"/>
    <w:rsid w:val="003A3113"/>
    <w:rsid w:val="003A5411"/>
    <w:rsid w:val="003A6D92"/>
    <w:rsid w:val="003B3BF0"/>
    <w:rsid w:val="003B4E59"/>
    <w:rsid w:val="003B6FF2"/>
    <w:rsid w:val="003C2366"/>
    <w:rsid w:val="003C5EBA"/>
    <w:rsid w:val="003D51F9"/>
    <w:rsid w:val="003E0F3E"/>
    <w:rsid w:val="003E1DCA"/>
    <w:rsid w:val="003E6999"/>
    <w:rsid w:val="003E71B5"/>
    <w:rsid w:val="003F0284"/>
    <w:rsid w:val="003F07CF"/>
    <w:rsid w:val="003F347F"/>
    <w:rsid w:val="003F4FDD"/>
    <w:rsid w:val="003F57AD"/>
    <w:rsid w:val="003F6B5E"/>
    <w:rsid w:val="00400385"/>
    <w:rsid w:val="00406194"/>
    <w:rsid w:val="0041434D"/>
    <w:rsid w:val="00421003"/>
    <w:rsid w:val="0042107A"/>
    <w:rsid w:val="00427902"/>
    <w:rsid w:val="00430C3B"/>
    <w:rsid w:val="0043103B"/>
    <w:rsid w:val="00431A16"/>
    <w:rsid w:val="00432B42"/>
    <w:rsid w:val="00434B7C"/>
    <w:rsid w:val="00436A47"/>
    <w:rsid w:val="00441517"/>
    <w:rsid w:val="00442DF7"/>
    <w:rsid w:val="0044349F"/>
    <w:rsid w:val="004458FA"/>
    <w:rsid w:val="00445DCB"/>
    <w:rsid w:val="004472EE"/>
    <w:rsid w:val="00451468"/>
    <w:rsid w:val="00460EE6"/>
    <w:rsid w:val="00461066"/>
    <w:rsid w:val="00462456"/>
    <w:rsid w:val="004652D5"/>
    <w:rsid w:val="00465A8D"/>
    <w:rsid w:val="0047238F"/>
    <w:rsid w:val="004765A6"/>
    <w:rsid w:val="00476965"/>
    <w:rsid w:val="00481497"/>
    <w:rsid w:val="004902E6"/>
    <w:rsid w:val="00491C26"/>
    <w:rsid w:val="004921BF"/>
    <w:rsid w:val="004A1DD6"/>
    <w:rsid w:val="004A1EDA"/>
    <w:rsid w:val="004A400A"/>
    <w:rsid w:val="004A5D6E"/>
    <w:rsid w:val="004B18E1"/>
    <w:rsid w:val="004B2624"/>
    <w:rsid w:val="004B29BB"/>
    <w:rsid w:val="004B33D7"/>
    <w:rsid w:val="004B3AFC"/>
    <w:rsid w:val="004B4006"/>
    <w:rsid w:val="004C09BE"/>
    <w:rsid w:val="004C62F3"/>
    <w:rsid w:val="004D31EF"/>
    <w:rsid w:val="004E09A1"/>
    <w:rsid w:val="004E0D1C"/>
    <w:rsid w:val="004E146A"/>
    <w:rsid w:val="004E1742"/>
    <w:rsid w:val="004E1FAC"/>
    <w:rsid w:val="004E2B73"/>
    <w:rsid w:val="004E4C90"/>
    <w:rsid w:val="004F147C"/>
    <w:rsid w:val="004F275C"/>
    <w:rsid w:val="00500293"/>
    <w:rsid w:val="00504B09"/>
    <w:rsid w:val="0050676B"/>
    <w:rsid w:val="005079DF"/>
    <w:rsid w:val="00511989"/>
    <w:rsid w:val="005133AC"/>
    <w:rsid w:val="00516BF8"/>
    <w:rsid w:val="00516D6C"/>
    <w:rsid w:val="00525B15"/>
    <w:rsid w:val="00530739"/>
    <w:rsid w:val="00536E7D"/>
    <w:rsid w:val="005370EE"/>
    <w:rsid w:val="00541F05"/>
    <w:rsid w:val="005468B6"/>
    <w:rsid w:val="005478CF"/>
    <w:rsid w:val="00553121"/>
    <w:rsid w:val="005534A5"/>
    <w:rsid w:val="00553D15"/>
    <w:rsid w:val="00557536"/>
    <w:rsid w:val="00557DDB"/>
    <w:rsid w:val="00557F9C"/>
    <w:rsid w:val="005671C7"/>
    <w:rsid w:val="005717E1"/>
    <w:rsid w:val="00571AED"/>
    <w:rsid w:val="0057580E"/>
    <w:rsid w:val="00575937"/>
    <w:rsid w:val="0057784E"/>
    <w:rsid w:val="005778D5"/>
    <w:rsid w:val="0058131B"/>
    <w:rsid w:val="0058310F"/>
    <w:rsid w:val="005861C2"/>
    <w:rsid w:val="005956FC"/>
    <w:rsid w:val="005A2675"/>
    <w:rsid w:val="005A4DC8"/>
    <w:rsid w:val="005B0608"/>
    <w:rsid w:val="005C08AA"/>
    <w:rsid w:val="005C1030"/>
    <w:rsid w:val="005C46F4"/>
    <w:rsid w:val="005C6DFA"/>
    <w:rsid w:val="005C748E"/>
    <w:rsid w:val="005C76EA"/>
    <w:rsid w:val="005D112C"/>
    <w:rsid w:val="005D20B9"/>
    <w:rsid w:val="005D53D9"/>
    <w:rsid w:val="005D7A64"/>
    <w:rsid w:val="005E2CD4"/>
    <w:rsid w:val="005E2FB9"/>
    <w:rsid w:val="005E60C0"/>
    <w:rsid w:val="005F390A"/>
    <w:rsid w:val="005F47E3"/>
    <w:rsid w:val="005F54A2"/>
    <w:rsid w:val="00600A6C"/>
    <w:rsid w:val="00601152"/>
    <w:rsid w:val="0060213F"/>
    <w:rsid w:val="0060219B"/>
    <w:rsid w:val="006023E3"/>
    <w:rsid w:val="00605502"/>
    <w:rsid w:val="006100E3"/>
    <w:rsid w:val="00611E6E"/>
    <w:rsid w:val="006130AC"/>
    <w:rsid w:val="00620B5D"/>
    <w:rsid w:val="00621C8D"/>
    <w:rsid w:val="00626691"/>
    <w:rsid w:val="00630E45"/>
    <w:rsid w:val="006340A6"/>
    <w:rsid w:val="00635EA1"/>
    <w:rsid w:val="00637B8E"/>
    <w:rsid w:val="0064525C"/>
    <w:rsid w:val="00676285"/>
    <w:rsid w:val="00681733"/>
    <w:rsid w:val="006906F3"/>
    <w:rsid w:val="00694C7C"/>
    <w:rsid w:val="006A7BFF"/>
    <w:rsid w:val="006B0444"/>
    <w:rsid w:val="006C1C5B"/>
    <w:rsid w:val="006C48AC"/>
    <w:rsid w:val="006C6041"/>
    <w:rsid w:val="006D0093"/>
    <w:rsid w:val="006D34FF"/>
    <w:rsid w:val="006D3F00"/>
    <w:rsid w:val="006D5417"/>
    <w:rsid w:val="006E0515"/>
    <w:rsid w:val="006E19E8"/>
    <w:rsid w:val="006E582C"/>
    <w:rsid w:val="006F20EC"/>
    <w:rsid w:val="006F2777"/>
    <w:rsid w:val="006F4E83"/>
    <w:rsid w:val="006F71F6"/>
    <w:rsid w:val="006F7C08"/>
    <w:rsid w:val="00700175"/>
    <w:rsid w:val="00703C87"/>
    <w:rsid w:val="0070581A"/>
    <w:rsid w:val="00705EC6"/>
    <w:rsid w:val="00707E24"/>
    <w:rsid w:val="007139AE"/>
    <w:rsid w:val="00715179"/>
    <w:rsid w:val="00720566"/>
    <w:rsid w:val="007206EE"/>
    <w:rsid w:val="00721B39"/>
    <w:rsid w:val="00723636"/>
    <w:rsid w:val="00724AC4"/>
    <w:rsid w:val="0072765D"/>
    <w:rsid w:val="007336F3"/>
    <w:rsid w:val="00733F3B"/>
    <w:rsid w:val="00734C3E"/>
    <w:rsid w:val="007431C5"/>
    <w:rsid w:val="0074757A"/>
    <w:rsid w:val="00751451"/>
    <w:rsid w:val="00753171"/>
    <w:rsid w:val="007537D8"/>
    <w:rsid w:val="00762084"/>
    <w:rsid w:val="007655C2"/>
    <w:rsid w:val="007707B2"/>
    <w:rsid w:val="00773B06"/>
    <w:rsid w:val="00775588"/>
    <w:rsid w:val="00777E06"/>
    <w:rsid w:val="00777F2B"/>
    <w:rsid w:val="0078223C"/>
    <w:rsid w:val="00782AA5"/>
    <w:rsid w:val="00783CAD"/>
    <w:rsid w:val="007842E3"/>
    <w:rsid w:val="0078683F"/>
    <w:rsid w:val="00790726"/>
    <w:rsid w:val="007915AD"/>
    <w:rsid w:val="007932F2"/>
    <w:rsid w:val="00793771"/>
    <w:rsid w:val="00793C83"/>
    <w:rsid w:val="00795D87"/>
    <w:rsid w:val="007A07BB"/>
    <w:rsid w:val="007A43EE"/>
    <w:rsid w:val="007A4DE5"/>
    <w:rsid w:val="007A54B2"/>
    <w:rsid w:val="007A5DBA"/>
    <w:rsid w:val="007B45A4"/>
    <w:rsid w:val="007C3A0F"/>
    <w:rsid w:val="007C4C9A"/>
    <w:rsid w:val="007C4FA5"/>
    <w:rsid w:val="007D23B8"/>
    <w:rsid w:val="007D326A"/>
    <w:rsid w:val="007D444C"/>
    <w:rsid w:val="007D63F5"/>
    <w:rsid w:val="007D6C09"/>
    <w:rsid w:val="007D78A2"/>
    <w:rsid w:val="007D7A06"/>
    <w:rsid w:val="007E2BAD"/>
    <w:rsid w:val="007E50AD"/>
    <w:rsid w:val="007E65C7"/>
    <w:rsid w:val="007F49FB"/>
    <w:rsid w:val="0080198E"/>
    <w:rsid w:val="008030CD"/>
    <w:rsid w:val="0080535A"/>
    <w:rsid w:val="00813612"/>
    <w:rsid w:val="00815A47"/>
    <w:rsid w:val="00816ECA"/>
    <w:rsid w:val="00830081"/>
    <w:rsid w:val="00831922"/>
    <w:rsid w:val="00836CEE"/>
    <w:rsid w:val="00837B47"/>
    <w:rsid w:val="00837FDF"/>
    <w:rsid w:val="008405E4"/>
    <w:rsid w:val="0084079A"/>
    <w:rsid w:val="00841CF0"/>
    <w:rsid w:val="0085354F"/>
    <w:rsid w:val="0086079A"/>
    <w:rsid w:val="00860DE4"/>
    <w:rsid w:val="00862A72"/>
    <w:rsid w:val="00871985"/>
    <w:rsid w:val="00873BDA"/>
    <w:rsid w:val="00873DFE"/>
    <w:rsid w:val="00874D1F"/>
    <w:rsid w:val="00876CFB"/>
    <w:rsid w:val="0088073B"/>
    <w:rsid w:val="00881082"/>
    <w:rsid w:val="00882FD7"/>
    <w:rsid w:val="008904EF"/>
    <w:rsid w:val="00891846"/>
    <w:rsid w:val="00892D5B"/>
    <w:rsid w:val="008936CD"/>
    <w:rsid w:val="0089762C"/>
    <w:rsid w:val="008977FE"/>
    <w:rsid w:val="008A70F0"/>
    <w:rsid w:val="008B4B6C"/>
    <w:rsid w:val="008B57FE"/>
    <w:rsid w:val="008C0ED4"/>
    <w:rsid w:val="008C34B4"/>
    <w:rsid w:val="008D3F96"/>
    <w:rsid w:val="008D62B4"/>
    <w:rsid w:val="008D6F47"/>
    <w:rsid w:val="008E625F"/>
    <w:rsid w:val="008E7A7A"/>
    <w:rsid w:val="008F0872"/>
    <w:rsid w:val="00900BFB"/>
    <w:rsid w:val="00900D2F"/>
    <w:rsid w:val="00917315"/>
    <w:rsid w:val="00923248"/>
    <w:rsid w:val="0093064E"/>
    <w:rsid w:val="00931814"/>
    <w:rsid w:val="00932529"/>
    <w:rsid w:val="00932CE3"/>
    <w:rsid w:val="00933FC3"/>
    <w:rsid w:val="009365C8"/>
    <w:rsid w:val="00937A32"/>
    <w:rsid w:val="00941676"/>
    <w:rsid w:val="009434B1"/>
    <w:rsid w:val="00943A32"/>
    <w:rsid w:val="00943A68"/>
    <w:rsid w:val="00944E82"/>
    <w:rsid w:val="009458F1"/>
    <w:rsid w:val="0095089F"/>
    <w:rsid w:val="00954231"/>
    <w:rsid w:val="00961790"/>
    <w:rsid w:val="00961DFA"/>
    <w:rsid w:val="00962A8E"/>
    <w:rsid w:val="009631CF"/>
    <w:rsid w:val="009641C5"/>
    <w:rsid w:val="0096489D"/>
    <w:rsid w:val="00966F9A"/>
    <w:rsid w:val="009730D4"/>
    <w:rsid w:val="00976B4B"/>
    <w:rsid w:val="00977D2D"/>
    <w:rsid w:val="009803C4"/>
    <w:rsid w:val="00984507"/>
    <w:rsid w:val="00995A7C"/>
    <w:rsid w:val="009A6328"/>
    <w:rsid w:val="009B4998"/>
    <w:rsid w:val="009C6C06"/>
    <w:rsid w:val="009D3D8B"/>
    <w:rsid w:val="009E1A39"/>
    <w:rsid w:val="009E1CA8"/>
    <w:rsid w:val="009E2C5F"/>
    <w:rsid w:val="009E457A"/>
    <w:rsid w:val="009E7EF7"/>
    <w:rsid w:val="009F4658"/>
    <w:rsid w:val="009F490E"/>
    <w:rsid w:val="009F6F1B"/>
    <w:rsid w:val="009F75F0"/>
    <w:rsid w:val="00A04E92"/>
    <w:rsid w:val="00A06EB8"/>
    <w:rsid w:val="00A111A6"/>
    <w:rsid w:val="00A1127F"/>
    <w:rsid w:val="00A1299E"/>
    <w:rsid w:val="00A12FDB"/>
    <w:rsid w:val="00A21397"/>
    <w:rsid w:val="00A23F84"/>
    <w:rsid w:val="00A24190"/>
    <w:rsid w:val="00A27C3E"/>
    <w:rsid w:val="00A30013"/>
    <w:rsid w:val="00A30453"/>
    <w:rsid w:val="00A33FE9"/>
    <w:rsid w:val="00A34214"/>
    <w:rsid w:val="00A35ED1"/>
    <w:rsid w:val="00A36C08"/>
    <w:rsid w:val="00A4472F"/>
    <w:rsid w:val="00A47250"/>
    <w:rsid w:val="00A502ED"/>
    <w:rsid w:val="00A51791"/>
    <w:rsid w:val="00A54D25"/>
    <w:rsid w:val="00A62D45"/>
    <w:rsid w:val="00A6531F"/>
    <w:rsid w:val="00A666B5"/>
    <w:rsid w:val="00A72672"/>
    <w:rsid w:val="00A736FC"/>
    <w:rsid w:val="00A73C52"/>
    <w:rsid w:val="00A749F6"/>
    <w:rsid w:val="00A75391"/>
    <w:rsid w:val="00A77151"/>
    <w:rsid w:val="00A81238"/>
    <w:rsid w:val="00A864D8"/>
    <w:rsid w:val="00A87904"/>
    <w:rsid w:val="00A91EFB"/>
    <w:rsid w:val="00A91F86"/>
    <w:rsid w:val="00A952D6"/>
    <w:rsid w:val="00A96A77"/>
    <w:rsid w:val="00AA3C31"/>
    <w:rsid w:val="00AA5982"/>
    <w:rsid w:val="00AA5FEF"/>
    <w:rsid w:val="00AA6E97"/>
    <w:rsid w:val="00AA7184"/>
    <w:rsid w:val="00AB0922"/>
    <w:rsid w:val="00AB24A5"/>
    <w:rsid w:val="00AB3B39"/>
    <w:rsid w:val="00AC259E"/>
    <w:rsid w:val="00AC4444"/>
    <w:rsid w:val="00AC51A4"/>
    <w:rsid w:val="00AC566B"/>
    <w:rsid w:val="00AD6DF7"/>
    <w:rsid w:val="00AE13D3"/>
    <w:rsid w:val="00AE1518"/>
    <w:rsid w:val="00AE594F"/>
    <w:rsid w:val="00AE5E1C"/>
    <w:rsid w:val="00B00412"/>
    <w:rsid w:val="00B025AC"/>
    <w:rsid w:val="00B10C9F"/>
    <w:rsid w:val="00B1194F"/>
    <w:rsid w:val="00B12442"/>
    <w:rsid w:val="00B15094"/>
    <w:rsid w:val="00B1658B"/>
    <w:rsid w:val="00B21C2C"/>
    <w:rsid w:val="00B222CE"/>
    <w:rsid w:val="00B2371A"/>
    <w:rsid w:val="00B26F7B"/>
    <w:rsid w:val="00B32188"/>
    <w:rsid w:val="00B32BEF"/>
    <w:rsid w:val="00B50135"/>
    <w:rsid w:val="00B5279B"/>
    <w:rsid w:val="00B55838"/>
    <w:rsid w:val="00B621CA"/>
    <w:rsid w:val="00B64F44"/>
    <w:rsid w:val="00B65671"/>
    <w:rsid w:val="00B809B1"/>
    <w:rsid w:val="00B80D8B"/>
    <w:rsid w:val="00B843E5"/>
    <w:rsid w:val="00B86EB0"/>
    <w:rsid w:val="00B92A2F"/>
    <w:rsid w:val="00B979AF"/>
    <w:rsid w:val="00BA540F"/>
    <w:rsid w:val="00BB178F"/>
    <w:rsid w:val="00BB3B39"/>
    <w:rsid w:val="00BC501C"/>
    <w:rsid w:val="00BD0216"/>
    <w:rsid w:val="00BD25D3"/>
    <w:rsid w:val="00BE455B"/>
    <w:rsid w:val="00BE4AD8"/>
    <w:rsid w:val="00BE7A50"/>
    <w:rsid w:val="00BF152D"/>
    <w:rsid w:val="00BF2651"/>
    <w:rsid w:val="00BF545C"/>
    <w:rsid w:val="00BF718B"/>
    <w:rsid w:val="00C05AB3"/>
    <w:rsid w:val="00C14138"/>
    <w:rsid w:val="00C16D9C"/>
    <w:rsid w:val="00C178AD"/>
    <w:rsid w:val="00C20A91"/>
    <w:rsid w:val="00C34204"/>
    <w:rsid w:val="00C34498"/>
    <w:rsid w:val="00C372EE"/>
    <w:rsid w:val="00C44779"/>
    <w:rsid w:val="00C4603D"/>
    <w:rsid w:val="00C537F7"/>
    <w:rsid w:val="00C63F43"/>
    <w:rsid w:val="00C70076"/>
    <w:rsid w:val="00C7056B"/>
    <w:rsid w:val="00C7281F"/>
    <w:rsid w:val="00C802AF"/>
    <w:rsid w:val="00C84C12"/>
    <w:rsid w:val="00C8631B"/>
    <w:rsid w:val="00C866D6"/>
    <w:rsid w:val="00C8672D"/>
    <w:rsid w:val="00C87364"/>
    <w:rsid w:val="00C87D1E"/>
    <w:rsid w:val="00C9038E"/>
    <w:rsid w:val="00C9087F"/>
    <w:rsid w:val="00C952CF"/>
    <w:rsid w:val="00C952FA"/>
    <w:rsid w:val="00C97F06"/>
    <w:rsid w:val="00CA034A"/>
    <w:rsid w:val="00CA13DD"/>
    <w:rsid w:val="00CA20F7"/>
    <w:rsid w:val="00CA216D"/>
    <w:rsid w:val="00CA4710"/>
    <w:rsid w:val="00CA4C91"/>
    <w:rsid w:val="00CA5C54"/>
    <w:rsid w:val="00CA7009"/>
    <w:rsid w:val="00CB0F11"/>
    <w:rsid w:val="00CB1ABF"/>
    <w:rsid w:val="00CB1E0D"/>
    <w:rsid w:val="00CB5162"/>
    <w:rsid w:val="00CC3CBE"/>
    <w:rsid w:val="00CC4835"/>
    <w:rsid w:val="00CC5CC1"/>
    <w:rsid w:val="00CD4D3D"/>
    <w:rsid w:val="00CE6075"/>
    <w:rsid w:val="00CF1C8F"/>
    <w:rsid w:val="00CF508E"/>
    <w:rsid w:val="00D03FE0"/>
    <w:rsid w:val="00D07909"/>
    <w:rsid w:val="00D07EA8"/>
    <w:rsid w:val="00D12B2A"/>
    <w:rsid w:val="00D1633A"/>
    <w:rsid w:val="00D30903"/>
    <w:rsid w:val="00D341B1"/>
    <w:rsid w:val="00D35532"/>
    <w:rsid w:val="00D36A62"/>
    <w:rsid w:val="00D41CC7"/>
    <w:rsid w:val="00D5479A"/>
    <w:rsid w:val="00D54AB7"/>
    <w:rsid w:val="00D863C8"/>
    <w:rsid w:val="00D874CC"/>
    <w:rsid w:val="00D92E0D"/>
    <w:rsid w:val="00D958C6"/>
    <w:rsid w:val="00D96EDB"/>
    <w:rsid w:val="00DA3E4C"/>
    <w:rsid w:val="00DA79F3"/>
    <w:rsid w:val="00DB4319"/>
    <w:rsid w:val="00DB6CF1"/>
    <w:rsid w:val="00DB6D30"/>
    <w:rsid w:val="00DB7DBC"/>
    <w:rsid w:val="00DC13FA"/>
    <w:rsid w:val="00DC16A1"/>
    <w:rsid w:val="00DC30C6"/>
    <w:rsid w:val="00DC6E76"/>
    <w:rsid w:val="00DF0648"/>
    <w:rsid w:val="00DF296C"/>
    <w:rsid w:val="00DF4331"/>
    <w:rsid w:val="00DF59C0"/>
    <w:rsid w:val="00E00450"/>
    <w:rsid w:val="00E00D5B"/>
    <w:rsid w:val="00E00DDF"/>
    <w:rsid w:val="00E03EBF"/>
    <w:rsid w:val="00E045A8"/>
    <w:rsid w:val="00E07022"/>
    <w:rsid w:val="00E07E0E"/>
    <w:rsid w:val="00E25009"/>
    <w:rsid w:val="00E26469"/>
    <w:rsid w:val="00E27AD8"/>
    <w:rsid w:val="00E33530"/>
    <w:rsid w:val="00E351BA"/>
    <w:rsid w:val="00E361DF"/>
    <w:rsid w:val="00E4174D"/>
    <w:rsid w:val="00E4368B"/>
    <w:rsid w:val="00E43F92"/>
    <w:rsid w:val="00E44A1C"/>
    <w:rsid w:val="00E4729F"/>
    <w:rsid w:val="00E54DB2"/>
    <w:rsid w:val="00E5510E"/>
    <w:rsid w:val="00E5570B"/>
    <w:rsid w:val="00E60405"/>
    <w:rsid w:val="00E629D6"/>
    <w:rsid w:val="00E6558B"/>
    <w:rsid w:val="00E73088"/>
    <w:rsid w:val="00E746A7"/>
    <w:rsid w:val="00E75C8B"/>
    <w:rsid w:val="00E81819"/>
    <w:rsid w:val="00E81CCF"/>
    <w:rsid w:val="00E832EE"/>
    <w:rsid w:val="00E93A88"/>
    <w:rsid w:val="00E95D03"/>
    <w:rsid w:val="00EA34F1"/>
    <w:rsid w:val="00EA37CB"/>
    <w:rsid w:val="00EB0C49"/>
    <w:rsid w:val="00EB1422"/>
    <w:rsid w:val="00EC20E8"/>
    <w:rsid w:val="00EC28E8"/>
    <w:rsid w:val="00EC2F08"/>
    <w:rsid w:val="00EC39F7"/>
    <w:rsid w:val="00EE1946"/>
    <w:rsid w:val="00EE67A1"/>
    <w:rsid w:val="00EF0631"/>
    <w:rsid w:val="00EF5851"/>
    <w:rsid w:val="00EF79E9"/>
    <w:rsid w:val="00F02C85"/>
    <w:rsid w:val="00F045F0"/>
    <w:rsid w:val="00F06F84"/>
    <w:rsid w:val="00F06F98"/>
    <w:rsid w:val="00F072F8"/>
    <w:rsid w:val="00F11965"/>
    <w:rsid w:val="00F133C5"/>
    <w:rsid w:val="00F149AC"/>
    <w:rsid w:val="00F26123"/>
    <w:rsid w:val="00F27C56"/>
    <w:rsid w:val="00F35AF8"/>
    <w:rsid w:val="00F36837"/>
    <w:rsid w:val="00F407FC"/>
    <w:rsid w:val="00F516AD"/>
    <w:rsid w:val="00F53DC2"/>
    <w:rsid w:val="00F548E4"/>
    <w:rsid w:val="00F61CF5"/>
    <w:rsid w:val="00F73E9B"/>
    <w:rsid w:val="00F742DE"/>
    <w:rsid w:val="00F829C0"/>
    <w:rsid w:val="00F839B9"/>
    <w:rsid w:val="00F850D1"/>
    <w:rsid w:val="00F87538"/>
    <w:rsid w:val="00F90BF3"/>
    <w:rsid w:val="00F934A6"/>
    <w:rsid w:val="00F9531F"/>
    <w:rsid w:val="00FA3A68"/>
    <w:rsid w:val="00FC0C9C"/>
    <w:rsid w:val="00FC37C1"/>
    <w:rsid w:val="00FC5E3A"/>
    <w:rsid w:val="00FC671A"/>
    <w:rsid w:val="00FD2F2C"/>
    <w:rsid w:val="00FD6632"/>
    <w:rsid w:val="00FD7ED5"/>
    <w:rsid w:val="00FE19E5"/>
    <w:rsid w:val="00FE28B9"/>
    <w:rsid w:val="00FE47CC"/>
    <w:rsid w:val="00FE6201"/>
    <w:rsid w:val="00FE697A"/>
    <w:rsid w:val="00FF64A5"/>
    <w:rsid w:val="00FF7E72"/>
    <w:rsid w:val="01045EC2"/>
    <w:rsid w:val="021F2A41"/>
    <w:rsid w:val="035B3E68"/>
    <w:rsid w:val="040F08DC"/>
    <w:rsid w:val="050E266A"/>
    <w:rsid w:val="05922D6C"/>
    <w:rsid w:val="06C138B1"/>
    <w:rsid w:val="07250021"/>
    <w:rsid w:val="076869F3"/>
    <w:rsid w:val="077D653B"/>
    <w:rsid w:val="08235CF2"/>
    <w:rsid w:val="08326EC7"/>
    <w:rsid w:val="084471DA"/>
    <w:rsid w:val="0A6D307A"/>
    <w:rsid w:val="0C034D51"/>
    <w:rsid w:val="0DC25774"/>
    <w:rsid w:val="0FEED6B5"/>
    <w:rsid w:val="10E84F22"/>
    <w:rsid w:val="12015CC0"/>
    <w:rsid w:val="13AF1201"/>
    <w:rsid w:val="13E24C12"/>
    <w:rsid w:val="14322955"/>
    <w:rsid w:val="15195683"/>
    <w:rsid w:val="1675413A"/>
    <w:rsid w:val="17FAFEA9"/>
    <w:rsid w:val="181B1D9C"/>
    <w:rsid w:val="18612323"/>
    <w:rsid w:val="1A317541"/>
    <w:rsid w:val="1B64539C"/>
    <w:rsid w:val="1B9769F2"/>
    <w:rsid w:val="1C38687A"/>
    <w:rsid w:val="1CE24349"/>
    <w:rsid w:val="1D3D74F9"/>
    <w:rsid w:val="1DA24AED"/>
    <w:rsid w:val="1DDFF0A2"/>
    <w:rsid w:val="1FCF74DC"/>
    <w:rsid w:val="1FFB2CD4"/>
    <w:rsid w:val="206D6DE1"/>
    <w:rsid w:val="21E954FE"/>
    <w:rsid w:val="22307BF5"/>
    <w:rsid w:val="2311551F"/>
    <w:rsid w:val="23847F75"/>
    <w:rsid w:val="246D7076"/>
    <w:rsid w:val="25DA4F6A"/>
    <w:rsid w:val="283F26BC"/>
    <w:rsid w:val="285D7CB2"/>
    <w:rsid w:val="29FDD27D"/>
    <w:rsid w:val="2B857E31"/>
    <w:rsid w:val="2C0C445C"/>
    <w:rsid w:val="2C241953"/>
    <w:rsid w:val="2C4B25E9"/>
    <w:rsid w:val="2C94730F"/>
    <w:rsid w:val="2E2D276E"/>
    <w:rsid w:val="3143713C"/>
    <w:rsid w:val="32377421"/>
    <w:rsid w:val="33EFDF60"/>
    <w:rsid w:val="3437088A"/>
    <w:rsid w:val="3558300F"/>
    <w:rsid w:val="362D0E53"/>
    <w:rsid w:val="398355CA"/>
    <w:rsid w:val="3AB75381"/>
    <w:rsid w:val="3B6C7358"/>
    <w:rsid w:val="3DB2D2B6"/>
    <w:rsid w:val="3DE1D1CE"/>
    <w:rsid w:val="3EBAFFB2"/>
    <w:rsid w:val="3F0F9598"/>
    <w:rsid w:val="3FF74275"/>
    <w:rsid w:val="40C5633D"/>
    <w:rsid w:val="427A2A22"/>
    <w:rsid w:val="42BECBA7"/>
    <w:rsid w:val="44A917A5"/>
    <w:rsid w:val="45EC7588"/>
    <w:rsid w:val="48AF50B8"/>
    <w:rsid w:val="49FD6D3F"/>
    <w:rsid w:val="4A990CB3"/>
    <w:rsid w:val="4B49E0EE"/>
    <w:rsid w:val="4C565175"/>
    <w:rsid w:val="4CA83EC1"/>
    <w:rsid w:val="4DC7582E"/>
    <w:rsid w:val="4DCF947F"/>
    <w:rsid w:val="4E7E5D5C"/>
    <w:rsid w:val="4E7F0CB5"/>
    <w:rsid w:val="4F42646A"/>
    <w:rsid w:val="4F522521"/>
    <w:rsid w:val="53991D2F"/>
    <w:rsid w:val="53FDC28F"/>
    <w:rsid w:val="53FFA9AB"/>
    <w:rsid w:val="54867B22"/>
    <w:rsid w:val="54D631B9"/>
    <w:rsid w:val="55637144"/>
    <w:rsid w:val="55803DF1"/>
    <w:rsid w:val="573D1280"/>
    <w:rsid w:val="58921261"/>
    <w:rsid w:val="5985537A"/>
    <w:rsid w:val="5A311629"/>
    <w:rsid w:val="5BD84419"/>
    <w:rsid w:val="5CB63FF4"/>
    <w:rsid w:val="5CED6CFF"/>
    <w:rsid w:val="5F37C5B1"/>
    <w:rsid w:val="5FDEED3D"/>
    <w:rsid w:val="5FDFBC7B"/>
    <w:rsid w:val="605F753D"/>
    <w:rsid w:val="61737F96"/>
    <w:rsid w:val="61C71E86"/>
    <w:rsid w:val="61DD40AB"/>
    <w:rsid w:val="628D71D6"/>
    <w:rsid w:val="64C7CD21"/>
    <w:rsid w:val="653D363B"/>
    <w:rsid w:val="65E20D23"/>
    <w:rsid w:val="6777914F"/>
    <w:rsid w:val="677E1D27"/>
    <w:rsid w:val="67B33B30"/>
    <w:rsid w:val="67FE370F"/>
    <w:rsid w:val="697E27D1"/>
    <w:rsid w:val="697F7BED"/>
    <w:rsid w:val="6BEB4317"/>
    <w:rsid w:val="6D4E2EE1"/>
    <w:rsid w:val="6D8220B7"/>
    <w:rsid w:val="6DC87498"/>
    <w:rsid w:val="6DDD0314"/>
    <w:rsid w:val="6E7758E0"/>
    <w:rsid w:val="6E7E8D0D"/>
    <w:rsid w:val="6F6FF511"/>
    <w:rsid w:val="6FFDB2AB"/>
    <w:rsid w:val="71FFD787"/>
    <w:rsid w:val="754C0F2B"/>
    <w:rsid w:val="75F5F834"/>
    <w:rsid w:val="777ECA38"/>
    <w:rsid w:val="78B9226F"/>
    <w:rsid w:val="7A350CF8"/>
    <w:rsid w:val="7AFC058F"/>
    <w:rsid w:val="7AFF247F"/>
    <w:rsid w:val="7B867C86"/>
    <w:rsid w:val="7BFF7BBC"/>
    <w:rsid w:val="7D3A7212"/>
    <w:rsid w:val="7E7C5864"/>
    <w:rsid w:val="7F19282F"/>
    <w:rsid w:val="7FB84E06"/>
    <w:rsid w:val="7FBAFBB0"/>
    <w:rsid w:val="7FBF5976"/>
    <w:rsid w:val="9DEB2FB3"/>
    <w:rsid w:val="A2B7EADA"/>
    <w:rsid w:val="A3BBCFD8"/>
    <w:rsid w:val="A7FE280D"/>
    <w:rsid w:val="AFDFAD7C"/>
    <w:rsid w:val="B3BA1246"/>
    <w:rsid w:val="B7D3B90F"/>
    <w:rsid w:val="BEFB225F"/>
    <w:rsid w:val="BF26F35A"/>
    <w:rsid w:val="C7D84182"/>
    <w:rsid w:val="CE2E0DCC"/>
    <w:rsid w:val="CFF91940"/>
    <w:rsid w:val="D2FFA97B"/>
    <w:rsid w:val="D773C23A"/>
    <w:rsid w:val="D96F392C"/>
    <w:rsid w:val="DDFB96EC"/>
    <w:rsid w:val="DFB7C67F"/>
    <w:rsid w:val="E337CFC6"/>
    <w:rsid w:val="E5E9F9FF"/>
    <w:rsid w:val="E77BB093"/>
    <w:rsid w:val="EAF5E800"/>
    <w:rsid w:val="EBD7B748"/>
    <w:rsid w:val="EBEFEF7C"/>
    <w:rsid w:val="EDBF6533"/>
    <w:rsid w:val="EDDC0711"/>
    <w:rsid w:val="EE93E7A3"/>
    <w:rsid w:val="EFBBFCCC"/>
    <w:rsid w:val="F198D77C"/>
    <w:rsid w:val="F7F751D9"/>
    <w:rsid w:val="FB3D5F7D"/>
    <w:rsid w:val="FB7745E8"/>
    <w:rsid w:val="FBD76265"/>
    <w:rsid w:val="FDEF4297"/>
    <w:rsid w:val="FDFED014"/>
    <w:rsid w:val="FEFE38C7"/>
    <w:rsid w:val="FF979384"/>
    <w:rsid w:val="FFD73614"/>
    <w:rsid w:val="FFEE2690"/>
    <w:rsid w:val="FFEEAAE1"/>
    <w:rsid w:val="FFF70E74"/>
    <w:rsid w:val="FFFE7114"/>
    <w:rsid w:val="FFFFB45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0"/>
    <w:pPr>
      <w:ind w:firstLine="420"/>
    </w:pPr>
  </w:style>
  <w:style w:type="paragraph" w:styleId="3">
    <w:name w:val="annotation text"/>
    <w:basedOn w:val="1"/>
    <w:semiHidden/>
    <w:unhideWhenUsed/>
    <w:qFormat/>
    <w:uiPriority w:val="99"/>
    <w:pPr>
      <w:jc w:val="left"/>
    </w:pPr>
  </w:style>
  <w:style w:type="paragraph" w:styleId="4">
    <w:name w:val="Body Text Indent"/>
    <w:basedOn w:val="1"/>
    <w:link w:val="19"/>
    <w:semiHidden/>
    <w:unhideWhenUsed/>
    <w:qFormat/>
    <w:uiPriority w:val="99"/>
    <w:pPr>
      <w:spacing w:after="120"/>
      <w:ind w:left="420" w:leftChars="200"/>
    </w:pPr>
  </w:style>
  <w:style w:type="paragraph" w:styleId="5">
    <w:name w:val="Balloon Text"/>
    <w:basedOn w:val="1"/>
    <w:link w:val="16"/>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Body Text First Indent 2"/>
    <w:basedOn w:val="4"/>
    <w:link w:val="20"/>
    <w:qFormat/>
    <w:uiPriority w:val="0"/>
    <w:pPr>
      <w:ind w:firstLine="420" w:firstLineChars="200"/>
    </w:pPr>
    <w:rPr>
      <w:rFonts w:ascii="Times New Roman" w:hAnsi="Times New Roman" w:eastAsia="黑体" w:cs="Times New Roman"/>
      <w:sz w:val="28"/>
      <w:szCs w:val="20"/>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Hyperlink"/>
    <w:qFormat/>
    <w:uiPriority w:val="99"/>
    <w:rPr>
      <w:rFonts w:ascii="Arial" w:hAnsi="Arial" w:eastAsia="Times New Roman" w:cs="Verdana"/>
      <w:b/>
      <w:color w:val="2687D0"/>
      <w:kern w:val="0"/>
      <w:sz w:val="24"/>
      <w:u w:val="single"/>
      <w:lang w:eastAsia="en-US"/>
    </w:rPr>
  </w:style>
  <w:style w:type="character" w:customStyle="1" w:styleId="14">
    <w:name w:val="页脚 字符"/>
    <w:basedOn w:val="12"/>
    <w:link w:val="6"/>
    <w:qFormat/>
    <w:uiPriority w:val="99"/>
    <w:rPr>
      <w:rFonts w:ascii="Calibri" w:hAnsi="Calibri" w:eastAsia="宋体" w:cs="Times New Roman"/>
      <w:sz w:val="18"/>
      <w:szCs w:val="18"/>
    </w:rPr>
  </w:style>
  <w:style w:type="paragraph" w:customStyle="1" w:styleId="15">
    <w:name w:val="_Style 2"/>
    <w:basedOn w:val="1"/>
    <w:qFormat/>
    <w:uiPriority w:val="34"/>
    <w:pPr>
      <w:ind w:firstLine="420" w:firstLineChars="200"/>
    </w:pPr>
    <w:rPr>
      <w:rFonts w:ascii="Calibri" w:hAnsi="Calibri" w:eastAsia="宋体" w:cs="Times New Roman"/>
    </w:rPr>
  </w:style>
  <w:style w:type="character" w:customStyle="1" w:styleId="16">
    <w:name w:val="批注框文本 字符"/>
    <w:basedOn w:val="12"/>
    <w:link w:val="5"/>
    <w:semiHidden/>
    <w:qFormat/>
    <w:uiPriority w:val="99"/>
    <w:rPr>
      <w:sz w:val="18"/>
      <w:szCs w:val="18"/>
    </w:rPr>
  </w:style>
  <w:style w:type="character" w:customStyle="1" w:styleId="17">
    <w:name w:val="页眉 字符"/>
    <w:basedOn w:val="12"/>
    <w:link w:val="7"/>
    <w:qFormat/>
    <w:uiPriority w:val="99"/>
    <w:rPr>
      <w:sz w:val="18"/>
      <w:szCs w:val="18"/>
    </w:rPr>
  </w:style>
  <w:style w:type="paragraph" w:customStyle="1" w:styleId="1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9">
    <w:name w:val="正文文本缩进 字符"/>
    <w:basedOn w:val="12"/>
    <w:link w:val="4"/>
    <w:semiHidden/>
    <w:qFormat/>
    <w:uiPriority w:val="99"/>
  </w:style>
  <w:style w:type="character" w:customStyle="1" w:styleId="20">
    <w:name w:val="正文文本首行缩进 2 字符"/>
    <w:basedOn w:val="19"/>
    <w:link w:val="9"/>
    <w:qFormat/>
    <w:uiPriority w:val="0"/>
    <w:rPr>
      <w:rFonts w:ascii="Times New Roman" w:hAnsi="Times New Roman" w:eastAsia="黑体" w:cs="Times New Roman"/>
      <w:sz w:val="28"/>
      <w:szCs w:val="20"/>
    </w:rPr>
  </w:style>
  <w:style w:type="paragraph" w:styleId="21">
    <w:name w:val="List Paragraph"/>
    <w:basedOn w:val="1"/>
    <w:qFormat/>
    <w:uiPriority w:val="0"/>
    <w:pPr>
      <w:widowControl/>
      <w:ind w:firstLine="420" w:firstLineChars="200"/>
      <w:jc w:val="left"/>
    </w:pPr>
    <w:rPr>
      <w:rFonts w:ascii="宋体" w:hAnsi="宋体" w:eastAsia="宋体" w:cs="宋体"/>
      <w:kern w:val="0"/>
      <w:sz w:val="24"/>
      <w:szCs w:val="24"/>
    </w:rPr>
  </w:style>
  <w:style w:type="paragraph" w:customStyle="1" w:styleId="22">
    <w:name w:val="p1"/>
    <w:basedOn w:val="1"/>
    <w:qFormat/>
    <w:uiPriority w:val="0"/>
    <w:pPr>
      <w:jc w:val="left"/>
    </w:pPr>
    <w:rPr>
      <w:rFonts w:ascii="Helvetica" w:hAnsi="Helvetica" w:eastAsia="Helvetica" w:cs="Times New Roman"/>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13037</Words>
  <Characters>13342</Characters>
  <Lines>98</Lines>
  <Paragraphs>27</Paragraphs>
  <TotalTime>0</TotalTime>
  <ScaleCrop>false</ScaleCrop>
  <LinksUpToDate>false</LinksUpToDate>
  <CharactersWithSpaces>13659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2020-05-13T08:07:00Z</dcterms:created>
  <dc:creator>吴广宁</dc:creator>
  <cp:lastModifiedBy>奔跑的元元</cp:lastModifiedBy>
  <cp:lastPrinted>2023-06-06T07:16:00Z</cp:lastPrinted>
  <dcterms:modified xsi:type="dcterms:W3CDTF">2024-12-13T03:53:46Z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D880D5A14BF44EDCAC79649CF32B7BDF_13</vt:lpwstr>
  </property>
</Properties>
</file>