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rPr>
        <w:t>让</w:t>
      </w:r>
      <w:r>
        <w:rPr>
          <w:rFonts w:hint="default" w:ascii="宋体" w:hAnsi="宋体"/>
          <w:b/>
          <w:sz w:val="22"/>
          <w:u w:val="single"/>
        </w:rPr>
        <w:t>杭州市钱塘区</w:t>
      </w:r>
      <w:r>
        <w:rPr>
          <w:rFonts w:hint="default" w:asciiTheme="minorEastAsia" w:hAnsiTheme="minorEastAsia" w:eastAsiaTheme="minorEastAsia"/>
          <w:szCs w:val="21"/>
        </w:rPr>
        <w:t>学林</w:t>
      </w:r>
      <w:r>
        <w:rPr>
          <w:rFonts w:hint="default" w:ascii="宋体" w:hAnsi="宋体"/>
          <w:b/>
          <w:sz w:val="22"/>
          <w:u w:val="single"/>
        </w:rPr>
        <w:t>街16-18号（杭州师范大学下沙校区生活区10号学生公寓18号）房屋3年租赁权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w:t>
      </w:r>
      <w:bookmarkStart w:id="0" w:name="_GoBack"/>
      <w:bookmarkEnd w:id="0"/>
      <w:r>
        <w:rPr>
          <w:rFonts w:asciiTheme="minorEastAsia" w:hAnsiTheme="minorEastAsia"/>
          <w:szCs w:val="21"/>
        </w:rPr>
        <w:t>，即视为已详细阅读并完全认可本项目所披露内容以及已完成对标的的现场踏勘，表明已完全了解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不得使用明火，不得与周边房屋经营业态（项目）重复，按房屋规定用电量使用，不增容；经营</w:t>
      </w:r>
      <w:r>
        <w:rPr>
          <w:rFonts w:hint="eastAsia" w:ascii="pingfang sc regular" w:hAnsi="pingfang sc regular" w:cs="Times New Roman"/>
          <w:b/>
          <w:bCs/>
          <w:kern w:val="2"/>
          <w:sz w:val="21"/>
          <w:szCs w:val="24"/>
          <w:u w:val="single"/>
          <w:lang w:val="en-US" w:eastAsia="zh-CN" w:bidi="ar-SA"/>
        </w:rPr>
        <w:t>餐饮类</w:t>
      </w:r>
      <w:r>
        <w:rPr>
          <w:rFonts w:hint="eastAsia" w:ascii="pingfang sc regular" w:hAnsi="pingfang sc regular" w:eastAsia="宋体" w:cs="Times New Roman"/>
          <w:b/>
          <w:bCs/>
          <w:kern w:val="2"/>
          <w:sz w:val="21"/>
          <w:szCs w:val="24"/>
          <w:u w:val="single"/>
          <w:lang w:val="en-US" w:eastAsia="zh-CN" w:bidi="ar-SA"/>
        </w:rPr>
        <w:t>。</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保证在该租赁房屋所规定的用途范围内，按国家规定和《杭州市市直机关行政事业单位房屋租赁合同》及其附件约定依法经营，自行负责办理相关手续和支付相关费用，且按相关规定依法办理开业的证照等审批手续，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方违约。</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方未事先征得出租方及按规定应报经有关部门核准的书面同意，不得擅自改变房屋的结构和使用性质。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方如需对房屋进行改造、装修或增扩设备时，应事先征得出租方的书面同意，并按规定向有关部门办理审批同意手续后，方可进行。其所有费用全部由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lang w:val="en-US" w:eastAsia="zh-CN"/>
        </w:rPr>
        <w:t>8、</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租赁房屋无单独房屋所有权证，</w:t>
      </w:r>
      <w:r>
        <w:rPr>
          <w:rFonts w:hint="eastAsia" w:ascii="pingfang sc regular" w:hAnsi="pingfang sc regular"/>
        </w:rPr>
        <w:t>无法保证办理营业执照，</w:t>
      </w:r>
      <w:r>
        <w:rPr>
          <w:rFonts w:hint="eastAsia" w:ascii="pingfang sc regular" w:hAnsi="pingfang sc regular"/>
          <w:lang w:val="en-US" w:eastAsia="zh-CN"/>
        </w:rPr>
        <w:t>由</w:t>
      </w:r>
      <w:r>
        <w:rPr>
          <w:rFonts w:hint="eastAsia" w:ascii="pingfang sc regular" w:hAnsi="pingfang sc regular"/>
          <w:lang w:eastAsia="zh-CN"/>
        </w:rPr>
        <w:t>我</w:t>
      </w:r>
      <w:r>
        <w:rPr>
          <w:rFonts w:hint="eastAsia" w:ascii="pingfang sc regular" w:hAnsi="pingfang sc regular"/>
        </w:rPr>
        <w:t>方自行了解相关规定及承担可能存在的风险。拟出租房屋面积为测绘面积，与实际面积若有差异，以实际面积为准，成交的年租金及交易服务费不作调整。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9、我方知悉并承诺：在租赁期内，出租房屋不得整体或部分转租。如我方擅自转租的，转租行为无效。出租方有权单方面解除合同收回房屋。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lang w:val="en-US" w:eastAsia="zh-CN"/>
        </w:rPr>
        <w:t>10、我方知</w:t>
      </w:r>
      <w:r>
        <w:rPr>
          <w:rFonts w:hint="eastAsia" w:ascii="pingfang sc regular" w:hAnsi="pingfang sc regular" w:eastAsia="宋体" w:cs="Times New Roman"/>
          <w:kern w:val="2"/>
          <w:sz w:val="21"/>
          <w:szCs w:val="24"/>
          <w:lang w:val="en-US" w:eastAsia="zh-CN" w:bidi="ar-SA"/>
        </w:rPr>
        <w:t>悉并承诺：出租方与我方的权利义务及租赁房屋交付详见《杭州市市直机关事业单位房屋租赁合同》及其附件等交易合同。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68C3CA9"/>
    <w:rsid w:val="17CB3A58"/>
    <w:rsid w:val="19420DE5"/>
    <w:rsid w:val="19AF7B38"/>
    <w:rsid w:val="19BE26FF"/>
    <w:rsid w:val="1BCC28DA"/>
    <w:rsid w:val="1CAF1531"/>
    <w:rsid w:val="218A23E0"/>
    <w:rsid w:val="22BF195E"/>
    <w:rsid w:val="24475D32"/>
    <w:rsid w:val="24870B63"/>
    <w:rsid w:val="25355EE5"/>
    <w:rsid w:val="25D14148"/>
    <w:rsid w:val="26876BBB"/>
    <w:rsid w:val="26D040D5"/>
    <w:rsid w:val="289F5356"/>
    <w:rsid w:val="28FD5577"/>
    <w:rsid w:val="29012A40"/>
    <w:rsid w:val="296258BD"/>
    <w:rsid w:val="2A595C53"/>
    <w:rsid w:val="2B825398"/>
    <w:rsid w:val="2BBC65BB"/>
    <w:rsid w:val="2EDF16DA"/>
    <w:rsid w:val="3099405C"/>
    <w:rsid w:val="34001013"/>
    <w:rsid w:val="35A31D2D"/>
    <w:rsid w:val="36432277"/>
    <w:rsid w:val="375D600A"/>
    <w:rsid w:val="382E1881"/>
    <w:rsid w:val="397F11DB"/>
    <w:rsid w:val="3998098F"/>
    <w:rsid w:val="39A8199F"/>
    <w:rsid w:val="39B851B0"/>
    <w:rsid w:val="3C072F34"/>
    <w:rsid w:val="3C67604A"/>
    <w:rsid w:val="3CA4327A"/>
    <w:rsid w:val="3D2F7B50"/>
    <w:rsid w:val="3E0D06E1"/>
    <w:rsid w:val="3E944C68"/>
    <w:rsid w:val="3E9829CD"/>
    <w:rsid w:val="3EAC4BE0"/>
    <w:rsid w:val="3F645A79"/>
    <w:rsid w:val="42367D7B"/>
    <w:rsid w:val="433B6BC1"/>
    <w:rsid w:val="444927AE"/>
    <w:rsid w:val="450E4279"/>
    <w:rsid w:val="45E06DB2"/>
    <w:rsid w:val="46A41574"/>
    <w:rsid w:val="49685C71"/>
    <w:rsid w:val="4AFA7355"/>
    <w:rsid w:val="4C876474"/>
    <w:rsid w:val="4D1E7FB4"/>
    <w:rsid w:val="4D8A3E08"/>
    <w:rsid w:val="4E9304B5"/>
    <w:rsid w:val="4E9422C0"/>
    <w:rsid w:val="509D38E8"/>
    <w:rsid w:val="529A73B4"/>
    <w:rsid w:val="536E1390"/>
    <w:rsid w:val="53762FD6"/>
    <w:rsid w:val="554A1FCE"/>
    <w:rsid w:val="5A935B6E"/>
    <w:rsid w:val="5DE111A4"/>
    <w:rsid w:val="60E36DD1"/>
    <w:rsid w:val="62F7145E"/>
    <w:rsid w:val="64295746"/>
    <w:rsid w:val="65FD32F5"/>
    <w:rsid w:val="6646733A"/>
    <w:rsid w:val="666B305D"/>
    <w:rsid w:val="66EF7CE1"/>
    <w:rsid w:val="677E7622"/>
    <w:rsid w:val="67DD46EA"/>
    <w:rsid w:val="68BD0463"/>
    <w:rsid w:val="6B992453"/>
    <w:rsid w:val="6D174484"/>
    <w:rsid w:val="7045300B"/>
    <w:rsid w:val="708874D4"/>
    <w:rsid w:val="70D12FC7"/>
    <w:rsid w:val="70D56746"/>
    <w:rsid w:val="728F0602"/>
    <w:rsid w:val="7ACC169B"/>
    <w:rsid w:val="7ADC7C17"/>
    <w:rsid w:val="7BA768E8"/>
    <w:rsid w:val="7BE3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2024-12-19T01:31:56Z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