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highlight w:val="none"/>
        </w:rPr>
      </w:pPr>
      <w:r>
        <w:rPr>
          <w:rFonts w:hint="eastAsia" w:ascii="黑体" w:hAnsi="黑体" w:eastAsia="黑体"/>
          <w:b/>
          <w:sz w:val="36"/>
          <w:szCs w:val="36"/>
          <w:highlight w:val="none"/>
        </w:rPr>
        <w:t>承诺函</w:t>
      </w:r>
    </w:p>
    <w:p>
      <w:pPr>
        <w:keepNext w:val="0"/>
        <w:keepLines w:val="0"/>
        <w:pageBreakBefore w:val="0"/>
        <w:kinsoku/>
        <w:wordWrap/>
        <w:overflowPunct/>
        <w:topLinePunct w:val="0"/>
        <w:autoSpaceDE/>
        <w:autoSpaceDN/>
        <w:bidi w:val="0"/>
        <w:adjustRightInd/>
        <w:snapToGrid/>
        <w:spacing w:line="240" w:lineRule="auto"/>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杭州</w:t>
      </w:r>
      <w:r>
        <w:rPr>
          <w:rFonts w:asciiTheme="minorEastAsia" w:hAnsiTheme="minorEastAsia" w:eastAsiaTheme="minorEastAsia"/>
          <w:sz w:val="21"/>
          <w:szCs w:val="21"/>
          <w:highlight w:val="none"/>
        </w:rPr>
        <w:t>产权交易所</w:t>
      </w:r>
      <w:r>
        <w:rPr>
          <w:rFonts w:hint="eastAsia" w:asciiTheme="minorEastAsia" w:hAnsiTheme="minorEastAsia" w:eastAsiaTheme="minorEastAsia"/>
          <w:sz w:val="21"/>
          <w:szCs w:val="21"/>
          <w:highlight w:val="none"/>
        </w:rPr>
        <w:t>有限责任公司</w:t>
      </w:r>
      <w:r>
        <w:rPr>
          <w:rFonts w:asciiTheme="minorEastAsia" w:hAnsiTheme="minorEastAsia" w:eastAsiaTheme="minorEastAsia"/>
          <w:sz w:val="21"/>
          <w:szCs w:val="21"/>
          <w:highlight w:val="none"/>
        </w:rPr>
        <w:t>：</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cstheme="minorEastAsia"/>
          <w:sz w:val="21"/>
          <w:szCs w:val="21"/>
          <w:highlight w:val="none"/>
          <w:u w:val="none"/>
        </w:rPr>
      </w:pPr>
      <w:r>
        <w:rPr>
          <w:rFonts w:hint="eastAsia" w:asciiTheme="minorEastAsia" w:hAnsiTheme="minorEastAsia" w:eastAsiaTheme="minorEastAsia" w:cstheme="minorEastAsia"/>
          <w:sz w:val="21"/>
          <w:szCs w:val="21"/>
          <w:highlight w:val="none"/>
          <w:u w:val="none"/>
        </w:rPr>
        <w:t>我方拟受让</w:t>
      </w:r>
      <w:r>
        <w:rPr>
          <w:rFonts w:hint="eastAsia" w:asciiTheme="minorEastAsia" w:hAnsiTheme="minorEastAsia" w:eastAsiaTheme="minorEastAsia" w:cstheme="minorEastAsia"/>
          <w:sz w:val="21"/>
          <w:szCs w:val="21"/>
          <w:highlight w:val="none"/>
          <w:u w:val="single"/>
          <w:lang w:val="en-US" w:eastAsia="zh-CN"/>
        </w:rPr>
        <w:t>遵义道桥建设(集团)有限公司公司单户债权</w:t>
      </w:r>
      <w:r>
        <w:rPr>
          <w:rFonts w:hint="eastAsia" w:asciiTheme="minorEastAsia" w:hAnsiTheme="minorEastAsia" w:eastAsiaTheme="minorEastAsia" w:cstheme="minorEastAsia"/>
          <w:sz w:val="21"/>
          <w:szCs w:val="21"/>
          <w:highlight w:val="none"/>
          <w:u w:val="none"/>
        </w:rPr>
        <w:t>，现做如下承诺：</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asciiTheme="minorEastAsia" w:hAnsiTheme="minorEastAsia" w:eastAsiaTheme="minorEastAsia" w:cstheme="minorEastAsia"/>
          <w:sz w:val="21"/>
          <w:szCs w:val="21"/>
          <w:highlight w:val="none"/>
          <w:u w:val="none"/>
        </w:rPr>
        <w:t>1、</w:t>
      </w:r>
      <w:r>
        <w:rPr>
          <w:rFonts w:hint="eastAsia" w:asciiTheme="minorEastAsia" w:hAnsiTheme="minorEastAsia" w:eastAsiaTheme="minorEastAsia" w:cstheme="minorEastAsia"/>
          <w:sz w:val="21"/>
          <w:szCs w:val="21"/>
          <w:highlight w:val="none"/>
        </w:rPr>
        <w:t>我方已认真阅读、知悉并自愿遵守</w:t>
      </w:r>
      <w:r>
        <w:rPr>
          <w:rFonts w:hint="eastAsia" w:asciiTheme="minorEastAsia" w:hAnsiTheme="minorEastAsia" w:eastAsiaTheme="minorEastAsia" w:cstheme="minorEastAsia"/>
          <w:sz w:val="21"/>
          <w:szCs w:val="21"/>
          <w:highlight w:val="none"/>
          <w:lang w:val="en-US" w:eastAsia="zh-CN"/>
        </w:rPr>
        <w:t>杭州产权交易所</w:t>
      </w:r>
      <w:r>
        <w:rPr>
          <w:rFonts w:hint="eastAsia" w:asciiTheme="minorEastAsia" w:hAnsiTheme="minorEastAsia" w:eastAsiaTheme="minorEastAsia" w:cstheme="minorEastAsia"/>
          <w:sz w:val="21"/>
          <w:szCs w:val="21"/>
          <w:highlight w:val="none"/>
          <w:u w:val="single"/>
          <w:lang w:val="en-US" w:eastAsia="zh-CN"/>
        </w:rPr>
        <w:t>《国有资产转让交易规则》</w:t>
      </w:r>
      <w:r>
        <w:rPr>
          <w:rFonts w:hint="eastAsia" w:asciiTheme="minorEastAsia" w:hAnsiTheme="minorEastAsia" w:eastAsiaTheme="minorEastAsia" w:cstheme="minorEastAsia"/>
          <w:sz w:val="21"/>
          <w:szCs w:val="21"/>
          <w:highlight w:val="none"/>
          <w:u w:val="none"/>
        </w:rPr>
        <w:t>、</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single"/>
          <w:lang w:val="en-US" w:eastAsia="zh-CN"/>
        </w:rPr>
        <w:t>在线报价实施办法</w:t>
      </w:r>
      <w:r>
        <w:rPr>
          <w:rFonts w:hint="eastAsia" w:asciiTheme="minorEastAsia" w:hAnsiTheme="minorEastAsia" w:eastAsiaTheme="minorEastAsia" w:cstheme="minorEastAsia"/>
          <w:sz w:val="21"/>
          <w:szCs w:val="21"/>
          <w:highlight w:val="none"/>
          <w:u w:val="single"/>
        </w:rPr>
        <w:t>》</w:t>
      </w:r>
      <w:r>
        <w:rPr>
          <w:rFonts w:hint="eastAsia" w:asciiTheme="minorEastAsia" w:hAnsiTheme="minorEastAsia" w:eastAsiaTheme="minorEastAsia" w:cstheme="minorEastAsia"/>
          <w:sz w:val="21"/>
          <w:szCs w:val="21"/>
          <w:highlight w:val="none"/>
          <w:u w:val="none"/>
        </w:rPr>
        <w:t>和</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u w:val="single"/>
          <w:lang w:val="en-US" w:eastAsia="zh-CN"/>
        </w:rPr>
        <w:t>在线报价交易须知</w:t>
      </w:r>
      <w:r>
        <w:rPr>
          <w:rFonts w:hint="eastAsia" w:asciiTheme="minorEastAsia" w:hAnsiTheme="minorEastAsia" w:eastAsiaTheme="minorEastAsia" w:cstheme="minorEastAsia"/>
          <w:sz w:val="21"/>
          <w:szCs w:val="21"/>
          <w:highlight w:val="none"/>
          <w:u w:val="single"/>
          <w:lang w:eastAsia="zh-CN"/>
        </w:rPr>
        <w:t>》</w:t>
      </w:r>
      <w:r>
        <w:rPr>
          <w:rFonts w:hint="eastAsia" w:asciiTheme="minorEastAsia" w:hAnsiTheme="minorEastAsia" w:eastAsiaTheme="minorEastAsia" w:cstheme="minorEastAsia"/>
          <w:sz w:val="21"/>
          <w:szCs w:val="21"/>
          <w:highlight w:val="none"/>
        </w:rPr>
        <w:t>等文件的规定，同意按照相关规定参加本项目竞价活动。</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2、我方提交受让申请</w:t>
      </w:r>
      <w:r>
        <w:rPr>
          <w:rFonts w:hint="eastAsia" w:cs="Times New Roman" w:asciiTheme="minorEastAsia" w:hAnsiTheme="minorEastAsia" w:eastAsiaTheme="minorEastAsia"/>
          <w:sz w:val="21"/>
          <w:szCs w:val="21"/>
          <w:highlight w:val="none"/>
          <w:lang w:val="en-US" w:eastAsia="zh-CN"/>
        </w:rPr>
        <w:t>材料</w:t>
      </w:r>
      <w:r>
        <w:rPr>
          <w:rFonts w:hint="eastAsia" w:cs="Times New Roman" w:asciiTheme="minorEastAsia" w:hAnsiTheme="minorEastAsia" w:eastAsiaTheme="minorEastAsia"/>
          <w:sz w:val="21"/>
          <w:szCs w:val="21"/>
          <w:highlight w:val="none"/>
        </w:rPr>
        <w:t>并且交纳交易保证金后，即视为已详细阅读并完全认可本项目所披露内容以及已对拟受让债权（包括所涉的诉讼、执行等情况）进行了充分的调查与了解，并对拟受让债权的保证情况均做了充分了解并知情，愿意按现状受让该债权，知悉并接受所有可能的瑕疵、风险。并自愿承担一切交易风险。</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cs="Times New Roman" w:asciiTheme="minorEastAsia" w:hAnsiTheme="minorEastAsia" w:eastAsiaTheme="minorEastAsia"/>
          <w:sz w:val="21"/>
          <w:szCs w:val="21"/>
          <w:highlight w:val="none"/>
        </w:rPr>
      </w:pPr>
      <w:r>
        <w:rPr>
          <w:rFonts w:hint="eastAsia" w:cs="Times New Roman" w:asciiTheme="minorEastAsia" w:hAnsiTheme="minorEastAsia" w:eastAsiaTheme="minorEastAsia"/>
          <w:sz w:val="21"/>
          <w:szCs w:val="21"/>
          <w:highlight w:val="none"/>
        </w:rPr>
        <w:t>3、我方同意对照本债权转让信息披露公告所列的受让方资格条件，已对自身的资格条件进行核查，符合本项目受让方的主体资格条件，有权受让标的债权、已获得签署和履行本次交易的相应授权或批准，且与债务企业无任何关联关系，决定申请受让本标的，并自行承担本项目受让不能的全部后果，包括费用、风险和损失等。</w:t>
      </w:r>
    </w:p>
    <w:p>
      <w:pPr>
        <w:spacing w:line="24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4、我方同意在被确定为受让方之日起3个工作日内，携带受让申请材料原件到杭交所完成现场确认并签署《成交通知书》、交易记录及相关合同文件，并按照转让方要求5个工作日内与转让方完成确认和签署《资产转让合同》。</w:t>
      </w:r>
    </w:p>
    <w:p>
      <w:pPr>
        <w:spacing w:line="24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5、我方同意除保证金金额以外的剩余交易价款由转让方和受让方自行结算，由受让方按照《资产转让合同》约定向转让方指定账户（户名：哈银金融租赁有限责任公司；开户行：兴业银行北京分行营业部；帐号：326660100100410526 ），详见《资产转让合同》具体约定。</w:t>
      </w:r>
    </w:p>
    <w:p>
      <w:pPr>
        <w:spacing w:line="24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6、我方同意杭交所在经转让方申请之日起3个工作日内将受让方已交纳的交易价款全部划转至转让方指定账户（户名：哈银金融租赁有限责任公司；开户行：兴业银行北京分行营业部；帐号：326660100100410526 ）。</w:t>
      </w:r>
    </w:p>
    <w:p>
      <w:pPr>
        <w:spacing w:line="240" w:lineRule="auto"/>
        <w:ind w:firstLine="420" w:firstLineChars="200"/>
        <w:rPr>
          <w:rFonts w:hint="eastAsia" w:cs="Times New Roman" w:asciiTheme="minorEastAsia" w:hAnsiTheme="minorEastAsia" w:eastAsiaTheme="minorEastAsia"/>
          <w:sz w:val="21"/>
          <w:szCs w:val="21"/>
          <w:highlight w:val="none"/>
          <w:lang w:val="en-US" w:eastAsia="zh-CN"/>
        </w:rPr>
      </w:pPr>
      <w:r>
        <w:rPr>
          <w:rFonts w:hint="eastAsia" w:cs="Times New Roman" w:asciiTheme="minorEastAsia" w:hAnsiTheme="minorEastAsia" w:eastAsiaTheme="minorEastAsia"/>
          <w:sz w:val="21"/>
          <w:szCs w:val="21"/>
          <w:highlight w:val="none"/>
          <w:lang w:val="en-US" w:eastAsia="zh-CN"/>
        </w:rPr>
        <w:t>7、我方同意对拟受让债权（包括所涉的诉讼、执行等情况）进行了充分的调查与了解，并对拟受让债权的保证情况均做了充分了解并知情，愿意按现状受让该债权，知悉并接受所有可能的瑕疵、风险。</w:t>
      </w:r>
    </w:p>
    <w:p>
      <w:pPr>
        <w:spacing w:line="240" w:lineRule="auto"/>
        <w:ind w:firstLine="420" w:firstLineChars="200"/>
        <w:rPr>
          <w:rFonts w:hint="eastAsia" w:ascii="宋体" w:hAnsi="宋体" w:eastAsia="宋体" w:cs="Times New Roman"/>
          <w:i w:val="0"/>
          <w:iCs w:val="0"/>
          <w:sz w:val="21"/>
          <w:szCs w:val="21"/>
          <w:highlight w:val="none"/>
          <w:lang w:val="en-US" w:eastAsia="zh-CN"/>
        </w:rPr>
      </w:pPr>
      <w:r>
        <w:rPr>
          <w:rFonts w:hint="eastAsia" w:ascii="宋体" w:hAnsi="宋体" w:cs="Times New Roman"/>
          <w:i w:val="0"/>
          <w:iCs w:val="0"/>
          <w:sz w:val="21"/>
          <w:szCs w:val="21"/>
          <w:highlight w:val="none"/>
          <w:lang w:val="en-US" w:eastAsia="zh-CN"/>
        </w:rPr>
        <w:t>8</w:t>
      </w:r>
      <w:r>
        <w:rPr>
          <w:rFonts w:hint="eastAsia" w:ascii="宋体" w:hAnsi="宋体" w:eastAsia="宋体" w:cs="Times New Roman"/>
          <w:i w:val="0"/>
          <w:iCs w:val="0"/>
          <w:sz w:val="21"/>
          <w:szCs w:val="21"/>
          <w:highlight w:val="none"/>
        </w:rPr>
        <w:t>、</w:t>
      </w:r>
      <w:r>
        <w:rPr>
          <w:rFonts w:hint="eastAsia" w:ascii="宋体" w:hAnsi="宋体" w:eastAsia="宋体" w:cs="Times New Roman"/>
          <w:i w:val="0"/>
          <w:iCs w:val="0"/>
          <w:sz w:val="21"/>
          <w:szCs w:val="21"/>
          <w:highlight w:val="none"/>
          <w:lang w:val="en-US" w:eastAsia="zh-CN"/>
        </w:rPr>
        <w:t>本项目标的交付以</w:t>
      </w:r>
      <w:r>
        <w:rPr>
          <w:rFonts w:hint="eastAsia" w:ascii="宋体" w:hAnsi="宋体" w:eastAsia="宋体" w:cs="Times New Roman"/>
          <w:i w:val="0"/>
          <w:iCs w:val="0"/>
          <w:sz w:val="21"/>
          <w:szCs w:val="21"/>
          <w:highlight w:val="none"/>
          <w:u w:val="single"/>
          <w:lang w:val="en-US" w:eastAsia="zh-CN"/>
        </w:rPr>
        <w:t>《</w:t>
      </w:r>
      <w:r>
        <w:rPr>
          <w:rFonts w:hint="eastAsia" w:ascii="宋体" w:hAnsi="宋体"/>
          <w:sz w:val="21"/>
          <w:szCs w:val="21"/>
          <w:highlight w:val="none"/>
          <w:u w:val="single"/>
          <w:lang w:val="en-US" w:eastAsia="zh-CN"/>
        </w:rPr>
        <w:t>债权</w:t>
      </w:r>
      <w:r>
        <w:rPr>
          <w:rFonts w:hint="eastAsia" w:ascii="宋体" w:hAnsi="宋体"/>
          <w:sz w:val="21"/>
          <w:szCs w:val="21"/>
          <w:highlight w:val="none"/>
          <w:u w:val="single"/>
        </w:rPr>
        <w:t>转让协议</w:t>
      </w:r>
      <w:r>
        <w:rPr>
          <w:rFonts w:hint="eastAsia" w:ascii="宋体" w:hAnsi="宋体" w:eastAsia="宋体" w:cs="Times New Roman"/>
          <w:i w:val="0"/>
          <w:iCs w:val="0"/>
          <w:sz w:val="21"/>
          <w:szCs w:val="21"/>
          <w:highlight w:val="none"/>
          <w:u w:val="single"/>
          <w:lang w:val="en-US" w:eastAsia="zh-CN"/>
        </w:rPr>
        <w:t>》文本相关内容</w:t>
      </w:r>
      <w:r>
        <w:rPr>
          <w:rFonts w:hint="eastAsia" w:ascii="宋体" w:hAnsi="宋体" w:eastAsia="宋体" w:cs="Times New Roman"/>
          <w:i w:val="0"/>
          <w:iCs w:val="0"/>
          <w:sz w:val="21"/>
          <w:szCs w:val="21"/>
          <w:highlight w:val="none"/>
          <w:lang w:val="en-US" w:eastAsia="zh-CN"/>
        </w:rPr>
        <w:t>为准。</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lang w:val="en-US" w:eastAsia="zh-CN"/>
        </w:rPr>
      </w:pPr>
      <w:r>
        <w:rPr>
          <w:rFonts w:hint="eastAsia" w:asciiTheme="minorEastAsia" w:hAnsiTheme="minorEastAsia" w:eastAsiaTheme="minorEastAsia"/>
          <w:sz w:val="21"/>
          <w:szCs w:val="21"/>
          <w:highlight w:val="none"/>
          <w:lang w:val="en-US" w:eastAsia="zh-CN"/>
        </w:rPr>
        <w:t>11</w:t>
      </w:r>
      <w:r>
        <w:rPr>
          <w:rFonts w:hint="eastAsia" w:asciiTheme="minorEastAsia" w:hAnsiTheme="minorEastAsia" w:eastAsiaTheme="minorEastAsia"/>
          <w:sz w:val="21"/>
          <w:szCs w:val="21"/>
          <w:highlight w:val="none"/>
        </w:rPr>
        <w:t>、</w:t>
      </w:r>
      <w:r>
        <w:rPr>
          <w:rFonts w:hint="eastAsia" w:asciiTheme="minorEastAsia" w:hAnsiTheme="minorEastAsia" w:eastAsiaTheme="minorEastAsia"/>
          <w:sz w:val="21"/>
          <w:szCs w:val="21"/>
          <w:highlight w:val="none"/>
          <w:lang w:val="en-US" w:eastAsia="zh-CN"/>
        </w:rPr>
        <w:t>我方</w:t>
      </w:r>
      <w:r>
        <w:rPr>
          <w:rFonts w:hint="eastAsia" w:asciiTheme="minorEastAsia" w:hAnsiTheme="minorEastAsia" w:eastAsiaTheme="minorEastAsia"/>
          <w:sz w:val="21"/>
          <w:szCs w:val="21"/>
          <w:highlight w:val="none"/>
        </w:rPr>
        <w:t>同意交纳成交金额0.1%的交易服务费。受让方须自《成交通知书》签署次日起5个工作日内向杭交所指定账户支付交易服务费</w:t>
      </w:r>
      <w:r>
        <w:rPr>
          <w:rFonts w:hint="eastAsia" w:asciiTheme="minorEastAsia" w:hAnsiTheme="minorEastAsia" w:eastAsiaTheme="minorEastAsia"/>
          <w:sz w:val="21"/>
          <w:szCs w:val="21"/>
          <w:highlight w:val="none"/>
          <w:lang w:eastAsia="zh-CN"/>
        </w:rPr>
        <w:t>，</w:t>
      </w:r>
      <w:r>
        <w:rPr>
          <w:rFonts w:hint="eastAsia" w:asciiTheme="minorEastAsia" w:hAnsiTheme="minorEastAsia" w:eastAsiaTheme="minorEastAsia"/>
          <w:sz w:val="21"/>
          <w:szCs w:val="21"/>
          <w:highlight w:val="none"/>
          <w:lang w:val="en-US" w:eastAsia="zh-CN"/>
        </w:rPr>
        <w:t>并承诺按照约定及时、足额支付相关费用，不因与转让方任何争议或合同解除、终止等任何原因拒绝、拖延、减少交纳或主张退还相关费用。</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lang w:val="en-US" w:eastAsia="zh-CN"/>
        </w:rPr>
        <w:t>9、</w:t>
      </w:r>
      <w:r>
        <w:rPr>
          <w:rFonts w:hint="eastAsia" w:asciiTheme="minorEastAsia" w:hAnsiTheme="minorEastAsia" w:eastAsiaTheme="minorEastAsia"/>
          <w:sz w:val="21"/>
          <w:szCs w:val="21"/>
          <w:highlight w:val="none"/>
        </w:rPr>
        <w:t>若非转让方原因，出现以下任一情况时，转让方有权扣除意向受让方交纳的交易保证金，先用于补偿杭交所的服务费，剩余部分作为对转让方的经济补偿金，交易保证金不足以补偿的，相关方有权按照实际损失继续追诉：</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（1）意向受让方提交受让申请并交纳交易保证金后单方撤回受让申请的；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（2）产生符合条件的意向受让方后，各意向受让方在竞价期间均不报价的；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（3）在被确定为受让方后未按约定时间签署《成交通知书》、交易记录或未按照转让方要求完成确认和签署《债权转让协议》及相关合同文件的；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（4）意向受让方未履行书面承诺事项的；</w:t>
      </w:r>
    </w:p>
    <w:p>
      <w:pPr>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（5）存在其他违反交易规则情形的。</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sz w:val="21"/>
          <w:szCs w:val="21"/>
          <w:highlight w:val="none"/>
        </w:rPr>
      </w:pPr>
      <w:bookmarkStart w:id="0" w:name="_GoBack"/>
      <w:bookmarkEnd w:id="0"/>
    </w:p>
    <w:p>
      <w:pPr>
        <w:keepNext w:val="0"/>
        <w:keepLines w:val="0"/>
        <w:pageBreakBefore w:val="0"/>
        <w:kinsoku/>
        <w:wordWrap/>
        <w:overflowPunct/>
        <w:topLinePunct w:val="0"/>
        <w:autoSpaceDE/>
        <w:autoSpaceDN/>
        <w:bidi w:val="0"/>
        <w:adjustRightInd/>
        <w:snapToGrid/>
        <w:spacing w:line="240" w:lineRule="auto"/>
        <w:jc w:val="lef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w:t>
      </w:r>
      <w:r>
        <w:rPr>
          <w:rFonts w:hint="eastAsia" w:asciiTheme="minorEastAsia" w:hAnsiTheme="minorEastAsia" w:eastAsiaTheme="minorEastAsia"/>
          <w:sz w:val="21"/>
          <w:szCs w:val="21"/>
          <w:highlight w:val="none"/>
          <w:lang w:val="en-US" w:eastAsia="zh-CN"/>
        </w:rPr>
        <w:t xml:space="preserve">                                    </w:t>
      </w:r>
      <w:r>
        <w:rPr>
          <w:rFonts w:hint="eastAsia" w:asciiTheme="minorEastAsia" w:hAnsiTheme="minorEastAsia" w:eastAsiaTheme="minorEastAsia"/>
          <w:sz w:val="21"/>
          <w:szCs w:val="21"/>
          <w:highlight w:val="none"/>
        </w:rPr>
        <w:t>意向受让方（签章）：</w:t>
      </w:r>
    </w:p>
    <w:p>
      <w:pPr>
        <w:keepNext w:val="0"/>
        <w:keepLines w:val="0"/>
        <w:pageBreakBefore w:val="0"/>
        <w:kinsoku/>
        <w:wordWrap/>
        <w:overflowPunct/>
        <w:topLinePunct w:val="0"/>
        <w:autoSpaceDE/>
        <w:autoSpaceDN/>
        <w:bidi w:val="0"/>
        <w:adjustRightInd/>
        <w:snapToGrid/>
        <w:spacing w:line="240" w:lineRule="auto"/>
        <w:jc w:val="right"/>
        <w:textAlignment w:val="auto"/>
        <w:rPr>
          <w:rFonts w:asciiTheme="minorEastAsia" w:hAnsiTheme="minorEastAsia" w:eastAsiaTheme="minorEastAsia"/>
          <w:sz w:val="21"/>
          <w:szCs w:val="21"/>
          <w:highlight w:val="none"/>
        </w:rPr>
      </w:pPr>
      <w:r>
        <w:rPr>
          <w:rFonts w:hint="eastAsia" w:asciiTheme="minorEastAsia" w:hAnsiTheme="minorEastAsia" w:eastAsiaTheme="minorEastAsia"/>
          <w:sz w:val="21"/>
          <w:szCs w:val="21"/>
          <w:highlight w:val="none"/>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337E"/>
    <w:rsid w:val="00092C9D"/>
    <w:rsid w:val="00143D8A"/>
    <w:rsid w:val="0020310B"/>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5051A"/>
    <w:rsid w:val="005A37D0"/>
    <w:rsid w:val="005E4A34"/>
    <w:rsid w:val="0060197B"/>
    <w:rsid w:val="00627BE3"/>
    <w:rsid w:val="00662215"/>
    <w:rsid w:val="00737286"/>
    <w:rsid w:val="007847DD"/>
    <w:rsid w:val="00790D21"/>
    <w:rsid w:val="007E4EDD"/>
    <w:rsid w:val="0082311C"/>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7180"/>
    <w:rsid w:val="00B15A11"/>
    <w:rsid w:val="00B170BB"/>
    <w:rsid w:val="00B36433"/>
    <w:rsid w:val="00B91182"/>
    <w:rsid w:val="00B923AA"/>
    <w:rsid w:val="00BD7EAF"/>
    <w:rsid w:val="00C02F3D"/>
    <w:rsid w:val="00C07B7D"/>
    <w:rsid w:val="00C2125E"/>
    <w:rsid w:val="00C300A5"/>
    <w:rsid w:val="00C434EA"/>
    <w:rsid w:val="00C76683"/>
    <w:rsid w:val="00C80243"/>
    <w:rsid w:val="00C85BC7"/>
    <w:rsid w:val="00CB5B8C"/>
    <w:rsid w:val="00CF4007"/>
    <w:rsid w:val="00D56D57"/>
    <w:rsid w:val="00DD02F6"/>
    <w:rsid w:val="00E00E55"/>
    <w:rsid w:val="00E10ADA"/>
    <w:rsid w:val="00E60BD5"/>
    <w:rsid w:val="00ED0403"/>
    <w:rsid w:val="00ED4E9F"/>
    <w:rsid w:val="00EF62AF"/>
    <w:rsid w:val="00F06BEC"/>
    <w:rsid w:val="00F47654"/>
    <w:rsid w:val="00FA0343"/>
    <w:rsid w:val="00FA6AB7"/>
    <w:rsid w:val="019C1EEA"/>
    <w:rsid w:val="01E5402C"/>
    <w:rsid w:val="03066051"/>
    <w:rsid w:val="035209E2"/>
    <w:rsid w:val="03637B8E"/>
    <w:rsid w:val="08023653"/>
    <w:rsid w:val="0B43075A"/>
    <w:rsid w:val="0DCD0A2D"/>
    <w:rsid w:val="0DE02C77"/>
    <w:rsid w:val="0DF1051E"/>
    <w:rsid w:val="0F6C6671"/>
    <w:rsid w:val="10101360"/>
    <w:rsid w:val="15757CDE"/>
    <w:rsid w:val="173E5800"/>
    <w:rsid w:val="1B547DE9"/>
    <w:rsid w:val="223C333E"/>
    <w:rsid w:val="241B78B5"/>
    <w:rsid w:val="25B01A74"/>
    <w:rsid w:val="27541626"/>
    <w:rsid w:val="279544FE"/>
    <w:rsid w:val="27AA290F"/>
    <w:rsid w:val="285D694C"/>
    <w:rsid w:val="2B981E62"/>
    <w:rsid w:val="2D144984"/>
    <w:rsid w:val="2FA5177C"/>
    <w:rsid w:val="30324A0E"/>
    <w:rsid w:val="30B95B96"/>
    <w:rsid w:val="32087C04"/>
    <w:rsid w:val="32FB67E2"/>
    <w:rsid w:val="348A4BC2"/>
    <w:rsid w:val="374843BB"/>
    <w:rsid w:val="37C03B4A"/>
    <w:rsid w:val="38DE4956"/>
    <w:rsid w:val="3AAA0760"/>
    <w:rsid w:val="3B103714"/>
    <w:rsid w:val="3B6738AB"/>
    <w:rsid w:val="3D4625FA"/>
    <w:rsid w:val="3E155CF0"/>
    <w:rsid w:val="3EE14E32"/>
    <w:rsid w:val="3F376709"/>
    <w:rsid w:val="42CF40AA"/>
    <w:rsid w:val="45962498"/>
    <w:rsid w:val="461C7CAF"/>
    <w:rsid w:val="46D25304"/>
    <w:rsid w:val="49C56D6D"/>
    <w:rsid w:val="4C1C6969"/>
    <w:rsid w:val="4D5779D6"/>
    <w:rsid w:val="4DE741D0"/>
    <w:rsid w:val="508852FA"/>
    <w:rsid w:val="50CB2850"/>
    <w:rsid w:val="5187378F"/>
    <w:rsid w:val="57D5018C"/>
    <w:rsid w:val="585B5B75"/>
    <w:rsid w:val="58A0138A"/>
    <w:rsid w:val="599A5F61"/>
    <w:rsid w:val="5A7D1B2E"/>
    <w:rsid w:val="5B7B2FC6"/>
    <w:rsid w:val="5B881788"/>
    <w:rsid w:val="5D0F752C"/>
    <w:rsid w:val="5E012EA3"/>
    <w:rsid w:val="6256136A"/>
    <w:rsid w:val="63C12C87"/>
    <w:rsid w:val="64FD58B4"/>
    <w:rsid w:val="65D17423"/>
    <w:rsid w:val="67B63B0A"/>
    <w:rsid w:val="6B7C4F72"/>
    <w:rsid w:val="6BBC636F"/>
    <w:rsid w:val="6BFC67D7"/>
    <w:rsid w:val="714C77AC"/>
    <w:rsid w:val="71D57417"/>
    <w:rsid w:val="74836B63"/>
    <w:rsid w:val="77396FAC"/>
    <w:rsid w:val="795E558F"/>
    <w:rsid w:val="7EFB0F91"/>
    <w:rsid w:val="7FB72E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181</Words>
  <Characters>1036</Characters>
  <Lines>8</Lines>
  <Paragraphs>2</Paragraphs>
  <TotalTime>1</TotalTime>
  <ScaleCrop>false</ScaleCrop>
  <LinksUpToDate>false</LinksUpToDate>
  <CharactersWithSpaces>1215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徐诗丹</cp:lastModifiedBy>
  <cp:lastPrinted>2023-06-12T02:20:00Z</cp:lastPrinted>
  <dcterms:modified xsi:type="dcterms:W3CDTF">2024-12-17T06:34:44Z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907BC9FEF5624AF2BFFEAE60D9865307</vt:lpwstr>
  </property>
</Properties>
</file>