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杭州地铁2/4/6/7号线4个站厅商铺租赁权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 3 个工作日内，携带承租申请材料原件到杭交所完成现场确认并签署租赁经营合同，租赁经营合同签署之日，承租方交纳的交易保证金冲抵交易服务费，多余部分（若有）转为履约保证金、首期租赁费。首期租赁费、履约保证金的支付方式以出租方提供的租赁经营合同（样本）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color w:val="000000"/>
          <w:szCs w:val="21"/>
          <w:highlight w:val="none"/>
        </w:rPr>
        <w:t>同意杭交所经出租方申请之日起3个工作日内将承租方已交纳的履约保证金、首期租赁费全部划转至出租方指定账户</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5、我方已知悉并同意：</w:t>
      </w:r>
      <w:r>
        <w:rPr>
          <w:rFonts w:hint="eastAsia" w:ascii="宋体" w:hAnsi="宋体"/>
          <w:color w:val="000000"/>
          <w:szCs w:val="21"/>
          <w:highlight w:val="none"/>
        </w:rPr>
        <w:t>承租方在经营期内，未经出租方书面同意，不得变更经营的品牌和经营内容，或擅自将租赁的经营场地以转租、转让、转借、调换、分租等任何方式给予第三方使用</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我方已知悉并同意：</w:t>
      </w:r>
      <w:r>
        <w:rPr>
          <w:rFonts w:hint="eastAsia" w:ascii="宋体" w:hAnsi="宋体"/>
          <w:color w:val="000000"/>
          <w:szCs w:val="21"/>
          <w:highlight w:val="none"/>
          <w:lang w:val="en-US" w:eastAsia="zh-CN"/>
        </w:rPr>
        <w:t>经营场地的电、水等为有偿使用，出租方确保电、水等能正常使用并按商业用电用水收费标准，根据浙江省《国网代理购电工商业用户电价表》中“一般工商业35千伏及以上”电</w:t>
      </w:r>
      <w:bookmarkStart w:id="0" w:name="_GoBack"/>
      <w:bookmarkEnd w:id="0"/>
      <w:r>
        <w:rPr>
          <w:rFonts w:hint="eastAsia" w:ascii="宋体" w:hAnsi="宋体"/>
          <w:color w:val="000000"/>
          <w:szCs w:val="21"/>
          <w:highlight w:val="none"/>
          <w:lang w:val="en-US" w:eastAsia="zh-CN"/>
        </w:rPr>
        <w:t>价加权当月天数计算季度电价，顺加10%的损耗后进行结算，代收代付。出租方与承租方在移交时做好电（水）表计量读数的确认，承租方按照电（水）表计量的实际用量每月向出租方支付一次，具体支付时间以出租方通知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我方已知悉并同意：</w:t>
      </w:r>
      <w:r>
        <w:rPr>
          <w:rFonts w:hint="eastAsia" w:ascii="宋体" w:hAnsi="宋体" w:eastAsia="宋体" w:cs="宋体"/>
          <w:color w:val="000000"/>
          <w:szCs w:val="21"/>
          <w:highlight w:val="none"/>
        </w:rPr>
        <w:t>成交后按出租方要求配合将本项目接入出租方拟建设及已建成的线上平台（包括但不限于小程序、APP等形式），并同意给予线上平台用户相应的折扣优惠</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ascii="宋体" w:hAnsi="宋体"/>
          <w:color w:val="000000"/>
          <w:szCs w:val="21"/>
          <w:highlight w:val="none"/>
        </w:rPr>
        <w:t>本次</w:t>
      </w:r>
      <w:r>
        <w:rPr>
          <w:rFonts w:hint="eastAsia" w:ascii="宋体" w:hAnsi="宋体"/>
          <w:color w:val="000000"/>
          <w:szCs w:val="21"/>
          <w:highlight w:val="none"/>
          <w:lang w:val="en-US" w:eastAsia="zh-CN"/>
        </w:rPr>
        <w:t>交易</w:t>
      </w:r>
      <w:r>
        <w:rPr>
          <w:rFonts w:hint="eastAsia" w:ascii="宋体" w:hAnsi="宋体"/>
          <w:color w:val="000000"/>
          <w:szCs w:val="21"/>
          <w:highlight w:val="none"/>
        </w:rPr>
        <w:t>出租方与承租方的权利和义务以出租方确定的租赁经营合同（样本）为准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ascii="宋体" w:hAnsi="宋体"/>
          <w:color w:val="000000"/>
          <w:szCs w:val="21"/>
          <w:highlight w:val="none"/>
        </w:rPr>
        <w:t>本项目</w:t>
      </w:r>
      <w:r>
        <w:rPr>
          <w:rFonts w:hint="eastAsia" w:ascii="宋体" w:hAnsi="宋体"/>
          <w:color w:val="000000"/>
          <w:szCs w:val="21"/>
          <w:highlight w:val="none"/>
          <w:lang w:val="en-US" w:eastAsia="zh-CN"/>
        </w:rPr>
        <w:t>交易服务费由</w:t>
      </w:r>
      <w:r>
        <w:rPr>
          <w:rFonts w:ascii="宋体" w:hAnsi="宋体"/>
          <w:color w:val="000000"/>
          <w:szCs w:val="21"/>
          <w:highlight w:val="none"/>
        </w:rPr>
        <w:t>承租方</w:t>
      </w:r>
      <w:r>
        <w:rPr>
          <w:rFonts w:hint="eastAsia" w:ascii="宋体" w:hAnsi="宋体"/>
          <w:color w:val="000000"/>
          <w:szCs w:val="21"/>
          <w:highlight w:val="none"/>
          <w:lang w:val="en-US" w:eastAsia="zh-CN"/>
        </w:rPr>
        <w:t>承担，交易服务费人民币3000元。</w:t>
      </w:r>
    </w:p>
    <w:p>
      <w:pPr>
        <w:spacing w:line="240" w:lineRule="auto"/>
        <w:ind w:firstLine="420" w:firstLineChars="200"/>
        <w:rPr>
          <w:rFonts w:hint="eastAsia" w:ascii="宋体" w:hAnsi="宋体"/>
          <w:bCs/>
          <w:color w:val="000000"/>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w:t>
      </w:r>
      <w:r>
        <w:rPr>
          <w:rFonts w:hint="eastAsia" w:ascii="宋体" w:hAnsi="宋体"/>
          <w:bCs/>
          <w:color w:val="000000"/>
          <w:szCs w:val="21"/>
          <w:highlight w:val="none"/>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spacing w:line="240" w:lineRule="auto"/>
        <w:ind w:firstLine="420" w:firstLineChars="200"/>
        <w:rPr>
          <w:rFonts w:hint="eastAsia" w:ascii="宋体" w:hAnsi="宋体"/>
          <w:bCs/>
          <w:color w:val="000000"/>
          <w:szCs w:val="21"/>
          <w:highlight w:val="none"/>
        </w:rPr>
      </w:pPr>
      <w:r>
        <w:rPr>
          <w:rFonts w:hint="eastAsia" w:ascii="宋体" w:hAnsi="宋体"/>
          <w:bCs/>
          <w:color w:val="000000"/>
          <w:szCs w:val="21"/>
          <w:highlight w:val="none"/>
        </w:rPr>
        <w:t>（1）意向承租方提交承租申请材料并交纳交易保证金后单方撤回承租申请的；</w:t>
      </w:r>
    </w:p>
    <w:p>
      <w:pPr>
        <w:spacing w:line="240" w:lineRule="auto"/>
        <w:ind w:firstLine="420" w:firstLineChars="200"/>
        <w:rPr>
          <w:rFonts w:hint="eastAsia" w:ascii="宋体" w:hAnsi="宋体"/>
          <w:bCs/>
          <w:color w:val="000000"/>
          <w:szCs w:val="21"/>
          <w:highlight w:val="none"/>
        </w:rPr>
      </w:pPr>
      <w:r>
        <w:rPr>
          <w:rFonts w:hint="eastAsia" w:ascii="宋体" w:hAnsi="宋体"/>
          <w:bCs/>
          <w:color w:val="000000"/>
          <w:szCs w:val="21"/>
          <w:highlight w:val="none"/>
        </w:rPr>
        <w:t>（2）产生符合条件的意向承租方后，各意向承租方在竞价期间均不报价的；</w:t>
      </w:r>
    </w:p>
    <w:p>
      <w:pPr>
        <w:spacing w:line="240" w:lineRule="auto"/>
        <w:ind w:firstLine="420" w:firstLineChars="200"/>
        <w:rPr>
          <w:rFonts w:hint="eastAsia" w:ascii="宋体" w:hAnsi="宋体"/>
          <w:bCs/>
          <w:color w:val="000000"/>
          <w:szCs w:val="21"/>
          <w:highlight w:val="none"/>
        </w:rPr>
      </w:pPr>
      <w:r>
        <w:rPr>
          <w:rFonts w:hint="eastAsia" w:ascii="宋体" w:hAnsi="宋体"/>
          <w:bCs/>
          <w:color w:val="000000"/>
          <w:szCs w:val="21"/>
          <w:highlight w:val="none"/>
        </w:rPr>
        <w:t>（3）在被确定为承租方后未按约定签署租赁经营合同及其附件的或未按约定支付交易服务费、履约保证金和</w:t>
      </w:r>
      <w:r>
        <w:rPr>
          <w:rFonts w:hint="eastAsia" w:ascii="宋体" w:hAnsi="宋体"/>
          <w:color w:val="000000"/>
          <w:szCs w:val="21"/>
          <w:highlight w:val="none"/>
        </w:rPr>
        <w:t>首期租赁费</w:t>
      </w:r>
      <w:r>
        <w:rPr>
          <w:rFonts w:hint="eastAsia" w:ascii="宋体" w:hAnsi="宋体"/>
          <w:bCs/>
          <w:color w:val="000000"/>
          <w:szCs w:val="21"/>
          <w:highlight w:val="none"/>
        </w:rPr>
        <w:t>的；</w:t>
      </w:r>
    </w:p>
    <w:p>
      <w:pPr>
        <w:spacing w:line="240" w:lineRule="auto"/>
        <w:ind w:firstLine="420" w:firstLineChars="200"/>
        <w:rPr>
          <w:rFonts w:hint="eastAsia" w:ascii="宋体" w:hAnsi="宋体"/>
          <w:bCs/>
          <w:color w:val="000000"/>
          <w:szCs w:val="21"/>
          <w:highlight w:val="none"/>
        </w:rPr>
      </w:pPr>
      <w:r>
        <w:rPr>
          <w:rFonts w:hint="eastAsia" w:ascii="宋体" w:hAnsi="宋体"/>
          <w:bCs/>
          <w:color w:val="000000"/>
          <w:szCs w:val="21"/>
          <w:highlight w:val="none"/>
        </w:rPr>
        <w:t>（4）意向承租方未履行书面承诺事项的；</w:t>
      </w:r>
    </w:p>
    <w:p>
      <w:pPr>
        <w:spacing w:line="240" w:lineRule="auto"/>
        <w:ind w:firstLine="420" w:firstLineChars="200"/>
        <w:rPr>
          <w:rFonts w:asciiTheme="minorEastAsia" w:hAnsiTheme="minorEastAsia" w:eastAsiaTheme="minorEastAsia"/>
          <w:sz w:val="21"/>
          <w:szCs w:val="21"/>
          <w:highlight w:val="none"/>
        </w:rPr>
      </w:pPr>
      <w:r>
        <w:rPr>
          <w:rFonts w:hint="eastAsia" w:ascii="宋体" w:hAnsi="宋体"/>
          <w:bCs/>
          <w:color w:val="000000"/>
          <w:szCs w:val="21"/>
          <w:highlight w:val="none"/>
        </w:rPr>
        <w:t>（5）存在其他违反交易规则情形的</w:t>
      </w:r>
      <w:r>
        <w:rPr>
          <w:rFonts w:hint="eastAsia"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E22599E"/>
    <w:rsid w:val="0E834802"/>
    <w:rsid w:val="0FC71C56"/>
    <w:rsid w:val="0FE4035F"/>
    <w:rsid w:val="124C7A90"/>
    <w:rsid w:val="13A47F76"/>
    <w:rsid w:val="1510353C"/>
    <w:rsid w:val="15337A69"/>
    <w:rsid w:val="167D3903"/>
    <w:rsid w:val="173E5800"/>
    <w:rsid w:val="18467FFE"/>
    <w:rsid w:val="1AE925D2"/>
    <w:rsid w:val="1BA11F39"/>
    <w:rsid w:val="1BF84071"/>
    <w:rsid w:val="1CBF22CE"/>
    <w:rsid w:val="1E116E93"/>
    <w:rsid w:val="1E2D5CBF"/>
    <w:rsid w:val="1E3D05EC"/>
    <w:rsid w:val="21CE6A63"/>
    <w:rsid w:val="2211247F"/>
    <w:rsid w:val="23116AFC"/>
    <w:rsid w:val="250F79C4"/>
    <w:rsid w:val="26275F05"/>
    <w:rsid w:val="264F4578"/>
    <w:rsid w:val="267218C9"/>
    <w:rsid w:val="27541626"/>
    <w:rsid w:val="27977B16"/>
    <w:rsid w:val="27AA290F"/>
    <w:rsid w:val="285D694C"/>
    <w:rsid w:val="298F1A25"/>
    <w:rsid w:val="29AD2E5E"/>
    <w:rsid w:val="2ABF17AD"/>
    <w:rsid w:val="2AC44BCE"/>
    <w:rsid w:val="2B885500"/>
    <w:rsid w:val="2C396FCF"/>
    <w:rsid w:val="2D677D69"/>
    <w:rsid w:val="2E574DDA"/>
    <w:rsid w:val="2F1E77C3"/>
    <w:rsid w:val="2F4F78D8"/>
    <w:rsid w:val="2F682983"/>
    <w:rsid w:val="2FA5177C"/>
    <w:rsid w:val="304D2D7D"/>
    <w:rsid w:val="30664B53"/>
    <w:rsid w:val="30FE4BEF"/>
    <w:rsid w:val="31B87656"/>
    <w:rsid w:val="3205455A"/>
    <w:rsid w:val="32FB67E2"/>
    <w:rsid w:val="34511A11"/>
    <w:rsid w:val="3720484D"/>
    <w:rsid w:val="385F4F8F"/>
    <w:rsid w:val="390D60C4"/>
    <w:rsid w:val="3B103714"/>
    <w:rsid w:val="3B6738AB"/>
    <w:rsid w:val="3E714D02"/>
    <w:rsid w:val="3FF21887"/>
    <w:rsid w:val="42690C15"/>
    <w:rsid w:val="434954AA"/>
    <w:rsid w:val="45962498"/>
    <w:rsid w:val="45D5187E"/>
    <w:rsid w:val="499E6D18"/>
    <w:rsid w:val="4AE11B9D"/>
    <w:rsid w:val="4AFE08AD"/>
    <w:rsid w:val="4B2015F5"/>
    <w:rsid w:val="4E376061"/>
    <w:rsid w:val="502F6799"/>
    <w:rsid w:val="5187378F"/>
    <w:rsid w:val="530C093A"/>
    <w:rsid w:val="53241334"/>
    <w:rsid w:val="53E378B1"/>
    <w:rsid w:val="54D86F48"/>
    <w:rsid w:val="566C6246"/>
    <w:rsid w:val="574E5FE2"/>
    <w:rsid w:val="58B12DCB"/>
    <w:rsid w:val="5A7D1B2E"/>
    <w:rsid w:val="5B7B2FC6"/>
    <w:rsid w:val="5C5C5FCC"/>
    <w:rsid w:val="5EF92AD1"/>
    <w:rsid w:val="5F1477B7"/>
    <w:rsid w:val="5F571A46"/>
    <w:rsid w:val="5FCB5153"/>
    <w:rsid w:val="619D745F"/>
    <w:rsid w:val="62141232"/>
    <w:rsid w:val="63467DB9"/>
    <w:rsid w:val="63C12C87"/>
    <w:rsid w:val="65EA35C9"/>
    <w:rsid w:val="65FA377A"/>
    <w:rsid w:val="663421EF"/>
    <w:rsid w:val="665E6E47"/>
    <w:rsid w:val="68593726"/>
    <w:rsid w:val="68EE06C5"/>
    <w:rsid w:val="68F716F5"/>
    <w:rsid w:val="69060B68"/>
    <w:rsid w:val="69EF29A2"/>
    <w:rsid w:val="69F37131"/>
    <w:rsid w:val="6AF126F7"/>
    <w:rsid w:val="6B2777BD"/>
    <w:rsid w:val="6B7C4F72"/>
    <w:rsid w:val="6BBC636F"/>
    <w:rsid w:val="6CA06AAE"/>
    <w:rsid w:val="6EF12CC7"/>
    <w:rsid w:val="706A15A9"/>
    <w:rsid w:val="706F46D2"/>
    <w:rsid w:val="70B47A2A"/>
    <w:rsid w:val="714C77AC"/>
    <w:rsid w:val="71615C3D"/>
    <w:rsid w:val="71A316B5"/>
    <w:rsid w:val="71D57417"/>
    <w:rsid w:val="725239F0"/>
    <w:rsid w:val="730B6342"/>
    <w:rsid w:val="740B5DE5"/>
    <w:rsid w:val="745D4756"/>
    <w:rsid w:val="74862807"/>
    <w:rsid w:val="75207667"/>
    <w:rsid w:val="76DA15F9"/>
    <w:rsid w:val="78320567"/>
    <w:rsid w:val="787439E9"/>
    <w:rsid w:val="78A51424"/>
    <w:rsid w:val="795E558F"/>
    <w:rsid w:val="79BE53CA"/>
    <w:rsid w:val="7B597F4D"/>
    <w:rsid w:val="7C1028CE"/>
    <w:rsid w:val="7C5A0139"/>
    <w:rsid w:val="7D202B8D"/>
    <w:rsid w:val="7E0876FF"/>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Body Text First Indent"/>
    <w:basedOn w:val="2"/>
    <w:next w:val="1"/>
    <w:qFormat/>
    <w:uiPriority w:val="99"/>
    <w:pPr>
      <w:ind w:firstLine="420" w:firstLineChars="1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2024-12-03T06:17:16Z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