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杭州市临安区锦城街道江桥二弄24(1幢203）房产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 w:val="7FE7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