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2900F0DD">
      <w:pPr>
        <w:keepNext w:val="0"/>
        <w:keepLines w:val="0"/>
        <w:pageBreakBefore w:val="0"/>
        <w:kinsoku/>
        <w:wordWrap/>
        <w:overflowPunct/>
        <w:topLinePunct w:val="0"/>
        <w:autoSpaceDE/>
        <w:autoSpaceDN/>
        <w:bidi w:val="0"/>
        <w:adjustRightInd/>
        <w:snapToGrid/>
        <w:spacing w:line="240" w:lineRule="auto"/>
        <w:jc w:val="center"/>
        <w:textAlignment w:val="auto"/>
        <w:rPr>
          <w:rFonts w:ascii="黑体" w:hAnsi="黑体" w:eastAsia="黑体"/>
          <w:b/>
          <w:sz w:val="36"/>
          <w:szCs w:val="36"/>
          <w:highlight w:val="none"/>
        </w:rPr>
      </w:pPr>
      <w:r>
        <w:rPr>
          <w:rFonts w:hint="eastAsia" w:ascii="黑体" w:hAnsi="黑体" w:eastAsia="黑体"/>
          <w:b/>
          <w:sz w:val="36"/>
          <w:szCs w:val="36"/>
          <w:highlight w:val="none"/>
        </w:rPr>
        <w:t>承诺函</w:t>
      </w:r>
    </w:p>
    <w:p w14:paraId="1F0FD925">
      <w:pPr>
        <w:keepNext w:val="0"/>
        <w:keepLines w:val="0"/>
        <w:pageBreakBefore w:val="0"/>
        <w:kinsoku/>
        <w:wordWrap/>
        <w:overflowPunct/>
        <w:topLinePunct w:val="0"/>
        <w:autoSpaceDE/>
        <w:autoSpaceDN/>
        <w:bidi w:val="0"/>
        <w:adjustRightInd/>
        <w:snapToGrid/>
        <w:spacing w:line="240" w:lineRule="auto"/>
        <w:textAlignment w:val="auto"/>
        <w:rPr>
          <w:rFonts w:asciiTheme="minorEastAsia" w:hAnsiTheme="minorEastAsia" w:eastAsiaTheme="minorEastAsia"/>
          <w:sz w:val="21"/>
          <w:szCs w:val="21"/>
          <w:highlight w:val="none"/>
        </w:rPr>
      </w:pPr>
      <w:r>
        <w:rPr>
          <w:rFonts w:hint="eastAsia" w:asciiTheme="minorEastAsia" w:hAnsiTheme="minorEastAsia" w:eastAsiaTheme="minorEastAsia"/>
          <w:sz w:val="21"/>
          <w:szCs w:val="21"/>
          <w:highlight w:val="none"/>
        </w:rPr>
        <w:t>杭州</w:t>
      </w:r>
      <w:r>
        <w:rPr>
          <w:rFonts w:asciiTheme="minorEastAsia" w:hAnsiTheme="minorEastAsia" w:eastAsiaTheme="minorEastAsia"/>
          <w:sz w:val="21"/>
          <w:szCs w:val="21"/>
          <w:highlight w:val="none"/>
        </w:rPr>
        <w:t>产权交易所</w:t>
      </w:r>
      <w:r>
        <w:rPr>
          <w:rFonts w:hint="eastAsia" w:asciiTheme="minorEastAsia" w:hAnsiTheme="minorEastAsia" w:eastAsiaTheme="minorEastAsia"/>
          <w:sz w:val="21"/>
          <w:szCs w:val="21"/>
          <w:highlight w:val="none"/>
        </w:rPr>
        <w:t>有限责任公司</w:t>
      </w:r>
      <w:r>
        <w:rPr>
          <w:rFonts w:asciiTheme="minorEastAsia" w:hAnsiTheme="minorEastAsia" w:eastAsiaTheme="minorEastAsia"/>
          <w:sz w:val="21"/>
          <w:szCs w:val="21"/>
          <w:highlight w:val="none"/>
        </w:rPr>
        <w:t>：</w:t>
      </w:r>
    </w:p>
    <w:p w14:paraId="68DA95EA">
      <w:pPr>
        <w:keepNext w:val="0"/>
        <w:keepLines w:val="0"/>
        <w:pageBreakBefore w:val="0"/>
        <w:kinsoku/>
        <w:wordWrap/>
        <w:overflowPunct/>
        <w:topLinePunct w:val="0"/>
        <w:autoSpaceDE/>
        <w:autoSpaceDN/>
        <w:bidi w:val="0"/>
        <w:adjustRightInd/>
        <w:snapToGrid/>
        <w:spacing w:line="240" w:lineRule="auto"/>
        <w:ind w:firstLine="420" w:firstLineChars="200"/>
        <w:textAlignment w:val="auto"/>
        <w:rPr>
          <w:rFonts w:hint="eastAsia" w:asciiTheme="minorEastAsia" w:hAnsiTheme="minorEastAsia" w:eastAsiaTheme="minorEastAsia" w:cstheme="minorEastAsia"/>
          <w:sz w:val="21"/>
          <w:szCs w:val="21"/>
          <w:highlight w:val="none"/>
        </w:rPr>
      </w:pPr>
      <w:r>
        <w:rPr>
          <w:rFonts w:hint="eastAsia" w:asciiTheme="minorEastAsia" w:hAnsiTheme="minorEastAsia" w:eastAsiaTheme="minorEastAsia" w:cstheme="minorEastAsia"/>
          <w:sz w:val="21"/>
          <w:szCs w:val="21"/>
          <w:highlight w:val="none"/>
        </w:rPr>
        <w:t>我方拟</w:t>
      </w:r>
      <w:r>
        <w:rPr>
          <w:rFonts w:hint="eastAsia" w:asciiTheme="minorEastAsia" w:hAnsiTheme="minorEastAsia" w:eastAsiaTheme="minorEastAsia" w:cstheme="minorEastAsia"/>
          <w:sz w:val="21"/>
          <w:szCs w:val="21"/>
          <w:highlight w:val="none"/>
          <w:u w:val="none"/>
        </w:rPr>
        <w:t>受让</w:t>
      </w:r>
      <w:r>
        <w:rPr>
          <w:rFonts w:hint="eastAsia" w:asciiTheme="minorEastAsia" w:hAnsiTheme="minorEastAsia" w:eastAsiaTheme="minorEastAsia" w:cstheme="minorEastAsia"/>
          <w:sz w:val="21"/>
          <w:szCs w:val="21"/>
          <w:highlight w:val="none"/>
          <w:u w:val="single"/>
          <w:lang w:val="en-US" w:eastAsia="zh-CN"/>
        </w:rPr>
        <w:t>3</w:t>
      </w:r>
      <w:bookmarkStart w:id="0" w:name="_GoBack"/>
      <w:bookmarkEnd w:id="0"/>
      <w:r>
        <w:rPr>
          <w:rFonts w:hint="eastAsia" w:asciiTheme="minorEastAsia" w:hAnsiTheme="minorEastAsia" w:eastAsiaTheme="minorEastAsia" w:cstheme="minorEastAsia"/>
          <w:sz w:val="21"/>
          <w:szCs w:val="21"/>
          <w:highlight w:val="none"/>
          <w:u w:val="single"/>
          <w:lang w:val="en-US" w:eastAsia="zh-CN"/>
        </w:rPr>
        <w:t>辆报废车辆</w:t>
      </w:r>
      <w:r>
        <w:rPr>
          <w:rFonts w:hint="eastAsia" w:asciiTheme="minorEastAsia" w:hAnsiTheme="minorEastAsia" w:eastAsiaTheme="minorEastAsia" w:cstheme="minorEastAsia"/>
          <w:sz w:val="21"/>
          <w:szCs w:val="21"/>
          <w:highlight w:val="none"/>
        </w:rPr>
        <w:t>项目，现做如下承诺：</w:t>
      </w:r>
    </w:p>
    <w:p w14:paraId="079F5EB4">
      <w:pPr>
        <w:keepNext w:val="0"/>
        <w:keepLines w:val="0"/>
        <w:pageBreakBefore w:val="0"/>
        <w:kinsoku/>
        <w:wordWrap/>
        <w:overflowPunct/>
        <w:topLinePunct w:val="0"/>
        <w:autoSpaceDE/>
        <w:autoSpaceDN/>
        <w:bidi w:val="0"/>
        <w:adjustRightInd/>
        <w:snapToGrid/>
        <w:spacing w:line="240" w:lineRule="auto"/>
        <w:ind w:firstLine="420" w:firstLineChars="200"/>
        <w:textAlignment w:val="auto"/>
        <w:rPr>
          <w:rFonts w:hint="eastAsia" w:asciiTheme="minorEastAsia" w:hAnsiTheme="minorEastAsia" w:eastAsiaTheme="minorEastAsia" w:cstheme="minorEastAsia"/>
          <w:sz w:val="21"/>
          <w:szCs w:val="21"/>
          <w:highlight w:val="none"/>
        </w:rPr>
      </w:pPr>
      <w:r>
        <w:rPr>
          <w:rFonts w:hint="eastAsia" w:asciiTheme="minorEastAsia" w:hAnsiTheme="minorEastAsia" w:eastAsiaTheme="minorEastAsia" w:cstheme="minorEastAsia"/>
          <w:sz w:val="21"/>
          <w:szCs w:val="21"/>
          <w:highlight w:val="none"/>
        </w:rPr>
        <w:t>1、我方已认真阅读、知悉并自愿遵守</w:t>
      </w:r>
      <w:r>
        <w:rPr>
          <w:rFonts w:hint="eastAsia" w:asciiTheme="minorEastAsia" w:hAnsiTheme="minorEastAsia" w:eastAsiaTheme="minorEastAsia" w:cstheme="minorEastAsia"/>
          <w:sz w:val="21"/>
          <w:szCs w:val="21"/>
          <w:highlight w:val="none"/>
          <w:lang w:val="en-US" w:eastAsia="zh-CN"/>
        </w:rPr>
        <w:t>杭州产权交易所</w:t>
      </w:r>
      <w:r>
        <w:rPr>
          <w:rFonts w:hint="eastAsia" w:asciiTheme="minorEastAsia" w:hAnsiTheme="minorEastAsia" w:eastAsiaTheme="minorEastAsia" w:cstheme="minorEastAsia"/>
          <w:sz w:val="21"/>
          <w:szCs w:val="21"/>
          <w:highlight w:val="none"/>
          <w:u w:val="single"/>
          <w:lang w:val="en-US" w:eastAsia="zh-CN"/>
        </w:rPr>
        <w:t>《国有资产转让交易规则》</w:t>
      </w:r>
      <w:r>
        <w:rPr>
          <w:rFonts w:hint="eastAsia" w:asciiTheme="minorEastAsia" w:hAnsiTheme="minorEastAsia" w:eastAsiaTheme="minorEastAsia" w:cstheme="minorEastAsia"/>
          <w:sz w:val="21"/>
          <w:szCs w:val="21"/>
          <w:highlight w:val="none"/>
          <w:u w:val="none"/>
        </w:rPr>
        <w:t>、</w:t>
      </w:r>
      <w:r>
        <w:rPr>
          <w:rFonts w:hint="eastAsia" w:asciiTheme="minorEastAsia" w:hAnsiTheme="minorEastAsia" w:eastAsiaTheme="minorEastAsia" w:cstheme="minorEastAsia"/>
          <w:sz w:val="21"/>
          <w:szCs w:val="21"/>
          <w:highlight w:val="none"/>
          <w:u w:val="single"/>
        </w:rPr>
        <w:t>《</w:t>
      </w:r>
      <w:r>
        <w:rPr>
          <w:rFonts w:hint="eastAsia" w:asciiTheme="minorEastAsia" w:hAnsiTheme="minorEastAsia" w:eastAsiaTheme="minorEastAsia" w:cstheme="minorEastAsia"/>
          <w:sz w:val="21"/>
          <w:szCs w:val="21"/>
          <w:highlight w:val="none"/>
          <w:u w:val="single"/>
          <w:lang w:val="en-US" w:eastAsia="zh-CN"/>
        </w:rPr>
        <w:t>在线报价实施办法</w:t>
      </w:r>
      <w:r>
        <w:rPr>
          <w:rFonts w:hint="eastAsia" w:asciiTheme="minorEastAsia" w:hAnsiTheme="minorEastAsia" w:eastAsiaTheme="minorEastAsia" w:cstheme="minorEastAsia"/>
          <w:sz w:val="21"/>
          <w:szCs w:val="21"/>
          <w:highlight w:val="none"/>
          <w:u w:val="single"/>
        </w:rPr>
        <w:t>》</w:t>
      </w:r>
      <w:r>
        <w:rPr>
          <w:rFonts w:hint="eastAsia" w:asciiTheme="minorEastAsia" w:hAnsiTheme="minorEastAsia" w:eastAsiaTheme="minorEastAsia" w:cstheme="minorEastAsia"/>
          <w:sz w:val="21"/>
          <w:szCs w:val="21"/>
          <w:highlight w:val="none"/>
          <w:u w:val="none"/>
        </w:rPr>
        <w:t>和</w:t>
      </w:r>
      <w:r>
        <w:rPr>
          <w:rFonts w:hint="eastAsia" w:asciiTheme="minorEastAsia" w:hAnsiTheme="minorEastAsia" w:eastAsiaTheme="minorEastAsia" w:cstheme="minorEastAsia"/>
          <w:sz w:val="21"/>
          <w:szCs w:val="21"/>
          <w:highlight w:val="none"/>
          <w:u w:val="single"/>
          <w:lang w:eastAsia="zh-CN"/>
        </w:rPr>
        <w:t>《</w:t>
      </w:r>
      <w:r>
        <w:rPr>
          <w:rFonts w:hint="eastAsia" w:asciiTheme="minorEastAsia" w:hAnsiTheme="minorEastAsia" w:eastAsiaTheme="minorEastAsia" w:cstheme="minorEastAsia"/>
          <w:sz w:val="21"/>
          <w:szCs w:val="21"/>
          <w:highlight w:val="none"/>
          <w:u w:val="single"/>
          <w:lang w:val="en-US" w:eastAsia="zh-CN"/>
        </w:rPr>
        <w:t>在线报价交易须知</w:t>
      </w:r>
      <w:r>
        <w:rPr>
          <w:rFonts w:hint="eastAsia" w:asciiTheme="minorEastAsia" w:hAnsiTheme="minorEastAsia" w:eastAsiaTheme="minorEastAsia" w:cstheme="minorEastAsia"/>
          <w:sz w:val="21"/>
          <w:szCs w:val="21"/>
          <w:highlight w:val="none"/>
          <w:u w:val="single"/>
          <w:lang w:eastAsia="zh-CN"/>
        </w:rPr>
        <w:t>》</w:t>
      </w:r>
      <w:r>
        <w:rPr>
          <w:rFonts w:hint="eastAsia" w:asciiTheme="minorEastAsia" w:hAnsiTheme="minorEastAsia" w:eastAsiaTheme="minorEastAsia" w:cstheme="minorEastAsia"/>
          <w:sz w:val="21"/>
          <w:szCs w:val="21"/>
          <w:highlight w:val="none"/>
        </w:rPr>
        <w:t>等文件的规定，同意按照相关规定参加本项目竞价活动。</w:t>
      </w:r>
    </w:p>
    <w:p w14:paraId="2A13CA60">
      <w:pPr>
        <w:keepNext w:val="0"/>
        <w:keepLines w:val="0"/>
        <w:pageBreakBefore w:val="0"/>
        <w:widowControl/>
        <w:tabs>
          <w:tab w:val="left" w:pos="6975"/>
        </w:tabs>
        <w:kinsoku/>
        <w:wordWrap/>
        <w:overflowPunct/>
        <w:topLinePunct w:val="0"/>
        <w:autoSpaceDE/>
        <w:autoSpaceDN/>
        <w:bidi w:val="0"/>
        <w:adjustRightInd/>
        <w:snapToGrid/>
        <w:spacing w:line="240" w:lineRule="auto"/>
        <w:ind w:firstLine="420" w:firstLineChars="200"/>
        <w:jc w:val="left"/>
        <w:textAlignment w:val="auto"/>
        <w:rPr>
          <w:rFonts w:hint="eastAsia" w:asciiTheme="minorEastAsia" w:hAnsiTheme="minorEastAsia" w:eastAsiaTheme="minorEastAsia" w:cstheme="minorEastAsia"/>
          <w:sz w:val="21"/>
          <w:szCs w:val="21"/>
          <w:highlight w:val="none"/>
        </w:rPr>
      </w:pPr>
      <w:r>
        <w:rPr>
          <w:rFonts w:hint="eastAsia" w:asciiTheme="minorEastAsia" w:hAnsiTheme="minorEastAsia" w:eastAsiaTheme="minorEastAsia"/>
          <w:sz w:val="21"/>
          <w:szCs w:val="21"/>
          <w:highlight w:val="none"/>
        </w:rPr>
        <w:t>2、我方</w:t>
      </w:r>
      <w:r>
        <w:rPr>
          <w:rFonts w:hint="eastAsia" w:asciiTheme="minorEastAsia" w:hAnsiTheme="minorEastAsia"/>
          <w:sz w:val="21"/>
          <w:szCs w:val="21"/>
          <w:highlight w:val="none"/>
        </w:rPr>
        <w:t>提交</w:t>
      </w:r>
      <w:r>
        <w:rPr>
          <w:rFonts w:asciiTheme="minorEastAsia" w:hAnsiTheme="minorEastAsia"/>
          <w:sz w:val="21"/>
          <w:szCs w:val="21"/>
          <w:highlight w:val="none"/>
          <w:u w:val="single"/>
        </w:rPr>
        <w:t>受让</w:t>
      </w:r>
      <w:r>
        <w:rPr>
          <w:rFonts w:asciiTheme="minorEastAsia" w:hAnsiTheme="minorEastAsia"/>
          <w:sz w:val="21"/>
          <w:szCs w:val="21"/>
          <w:highlight w:val="none"/>
        </w:rPr>
        <w:t>申请</w:t>
      </w:r>
      <w:r>
        <w:rPr>
          <w:rFonts w:hint="eastAsia" w:asciiTheme="minorEastAsia" w:hAnsiTheme="minorEastAsia"/>
          <w:sz w:val="21"/>
          <w:szCs w:val="21"/>
          <w:highlight w:val="none"/>
          <w:lang w:val="en-US" w:eastAsia="zh-CN"/>
        </w:rPr>
        <w:t>材料</w:t>
      </w:r>
      <w:r>
        <w:rPr>
          <w:rFonts w:asciiTheme="minorEastAsia" w:hAnsiTheme="minorEastAsia"/>
          <w:sz w:val="21"/>
          <w:szCs w:val="21"/>
          <w:highlight w:val="none"/>
        </w:rPr>
        <w:t>并且</w:t>
      </w:r>
      <w:r>
        <w:rPr>
          <w:rFonts w:hint="eastAsia" w:asciiTheme="minorEastAsia" w:hAnsiTheme="minorEastAsia"/>
          <w:sz w:val="21"/>
          <w:szCs w:val="21"/>
          <w:highlight w:val="none"/>
        </w:rPr>
        <w:t>交纳交易</w:t>
      </w:r>
      <w:r>
        <w:rPr>
          <w:rFonts w:asciiTheme="minorEastAsia" w:hAnsiTheme="minorEastAsia"/>
          <w:sz w:val="21"/>
          <w:szCs w:val="21"/>
          <w:highlight w:val="none"/>
        </w:rPr>
        <w:t>保证金后，即视为已详细阅读并完全认可本项</w:t>
      </w:r>
      <w:r>
        <w:rPr>
          <w:rFonts w:hint="eastAsia" w:asciiTheme="minorEastAsia" w:hAnsiTheme="minorEastAsia" w:eastAsiaTheme="minorEastAsia" w:cstheme="minorEastAsia"/>
          <w:sz w:val="21"/>
          <w:szCs w:val="21"/>
          <w:highlight w:val="none"/>
        </w:rPr>
        <w:t>目所披露内容以及已完成对标的的现场踏勘，表明已完全了解并自愿接受标的的全部现状及瑕疵，并自愿承担一切交易风险。</w:t>
      </w:r>
    </w:p>
    <w:p w14:paraId="62B7FE92">
      <w:pPr>
        <w:keepNext w:val="0"/>
        <w:keepLines w:val="0"/>
        <w:pageBreakBefore w:val="0"/>
        <w:widowControl/>
        <w:tabs>
          <w:tab w:val="left" w:pos="6975"/>
        </w:tabs>
        <w:kinsoku/>
        <w:wordWrap/>
        <w:overflowPunct/>
        <w:topLinePunct w:val="0"/>
        <w:autoSpaceDE/>
        <w:autoSpaceDN/>
        <w:bidi w:val="0"/>
        <w:adjustRightInd/>
        <w:snapToGrid/>
        <w:spacing w:line="240" w:lineRule="auto"/>
        <w:ind w:firstLine="420" w:firstLineChars="200"/>
        <w:jc w:val="left"/>
        <w:textAlignment w:val="auto"/>
        <w:rPr>
          <w:rFonts w:hint="eastAsia" w:asciiTheme="minorEastAsia" w:hAnsiTheme="minorEastAsia" w:eastAsiaTheme="minorEastAsia" w:cstheme="minorEastAsia"/>
          <w:sz w:val="21"/>
          <w:szCs w:val="21"/>
          <w:highlight w:val="none"/>
        </w:rPr>
      </w:pPr>
      <w:r>
        <w:rPr>
          <w:rFonts w:hint="eastAsia" w:asciiTheme="minorEastAsia" w:hAnsiTheme="minorEastAsia" w:eastAsiaTheme="minorEastAsia" w:cstheme="minorEastAsia"/>
          <w:sz w:val="21"/>
          <w:szCs w:val="21"/>
          <w:highlight w:val="none"/>
          <w:lang w:val="en-US" w:eastAsia="zh-CN"/>
        </w:rPr>
        <w:t>3、我方已</w:t>
      </w:r>
      <w:r>
        <w:rPr>
          <w:rFonts w:hint="eastAsia" w:asciiTheme="minorEastAsia" w:hAnsiTheme="minorEastAsia" w:eastAsiaTheme="minorEastAsia" w:cstheme="minorEastAsia"/>
          <w:sz w:val="21"/>
          <w:szCs w:val="21"/>
          <w:highlight w:val="none"/>
        </w:rPr>
        <w:t>自行了解其对转让标的受让事项是否符合中国现行法律法规及标的所在地相关政策。</w:t>
      </w:r>
    </w:p>
    <w:p w14:paraId="4082BA5F">
      <w:pPr>
        <w:keepNext w:val="0"/>
        <w:keepLines w:val="0"/>
        <w:pageBreakBefore w:val="0"/>
        <w:kinsoku/>
        <w:wordWrap/>
        <w:overflowPunct/>
        <w:topLinePunct w:val="0"/>
        <w:autoSpaceDE/>
        <w:autoSpaceDN/>
        <w:bidi w:val="0"/>
        <w:adjustRightInd/>
        <w:snapToGrid/>
        <w:spacing w:line="240" w:lineRule="auto"/>
        <w:ind w:firstLine="420" w:firstLineChars="200"/>
        <w:textAlignment w:val="auto"/>
        <w:rPr>
          <w:rFonts w:hint="eastAsia" w:asciiTheme="minorEastAsia" w:hAnsiTheme="minorEastAsia" w:eastAsiaTheme="minorEastAsia" w:cstheme="minorEastAsia"/>
          <w:sz w:val="21"/>
          <w:szCs w:val="21"/>
          <w:highlight w:val="none"/>
        </w:rPr>
      </w:pPr>
      <w:r>
        <w:rPr>
          <w:rFonts w:hint="eastAsia" w:asciiTheme="minorEastAsia" w:hAnsiTheme="minorEastAsia" w:eastAsiaTheme="minorEastAsia" w:cstheme="minorEastAsia"/>
          <w:sz w:val="21"/>
          <w:szCs w:val="21"/>
          <w:highlight w:val="none"/>
          <w:lang w:val="en-US" w:eastAsia="zh-CN"/>
        </w:rPr>
        <w:t>4</w:t>
      </w:r>
      <w:r>
        <w:rPr>
          <w:rFonts w:hint="eastAsia" w:asciiTheme="minorEastAsia" w:hAnsiTheme="minorEastAsia" w:eastAsiaTheme="minorEastAsia" w:cstheme="minorEastAsia"/>
          <w:sz w:val="21"/>
          <w:szCs w:val="21"/>
          <w:highlight w:val="none"/>
        </w:rPr>
        <w:t>、</w:t>
      </w:r>
      <w:r>
        <w:rPr>
          <w:rFonts w:hint="eastAsia" w:asciiTheme="minorEastAsia" w:hAnsiTheme="minorEastAsia" w:eastAsiaTheme="minorEastAsia" w:cstheme="minorEastAsia"/>
          <w:sz w:val="21"/>
          <w:szCs w:val="21"/>
          <w:highlight w:val="none"/>
          <w:lang w:val="en-US" w:eastAsia="zh-CN"/>
        </w:rPr>
        <w:t>同意在被确定为受让方之日起3个工作日内，携带受让申请材料原件到杭交所完成现场确认并签署《资产交易合同》；并在《资产交易合同》签署之日起5个工作日内向杭交所指定账户一次性支付交易服务费、交易价款、2000元履约保证金等交易资金（以到账时间为准）；</w:t>
      </w:r>
    </w:p>
    <w:p w14:paraId="1EDF506F">
      <w:pPr>
        <w:keepNext w:val="0"/>
        <w:keepLines w:val="0"/>
        <w:pageBreakBefore w:val="0"/>
        <w:kinsoku/>
        <w:wordWrap/>
        <w:overflowPunct/>
        <w:topLinePunct w:val="0"/>
        <w:autoSpaceDE/>
        <w:autoSpaceDN/>
        <w:bidi w:val="0"/>
        <w:adjustRightInd/>
        <w:snapToGrid/>
        <w:spacing w:line="240" w:lineRule="auto"/>
        <w:ind w:firstLine="420" w:firstLineChars="200"/>
        <w:textAlignment w:val="auto"/>
        <w:rPr>
          <w:rFonts w:asciiTheme="minorEastAsia" w:hAnsiTheme="minorEastAsia" w:eastAsiaTheme="minorEastAsia"/>
          <w:sz w:val="21"/>
          <w:szCs w:val="21"/>
          <w:highlight w:val="none"/>
        </w:rPr>
      </w:pPr>
      <w:r>
        <w:rPr>
          <w:rFonts w:hint="eastAsia" w:asciiTheme="minorEastAsia" w:hAnsiTheme="minorEastAsia" w:eastAsiaTheme="minorEastAsia"/>
          <w:sz w:val="21"/>
          <w:szCs w:val="21"/>
          <w:highlight w:val="none"/>
          <w:lang w:val="en-US" w:eastAsia="zh-CN"/>
        </w:rPr>
        <w:t>5</w:t>
      </w:r>
      <w:r>
        <w:rPr>
          <w:rFonts w:hint="eastAsia" w:asciiTheme="minorEastAsia" w:hAnsiTheme="minorEastAsia" w:eastAsiaTheme="minorEastAsia"/>
          <w:sz w:val="21"/>
          <w:szCs w:val="21"/>
          <w:highlight w:val="none"/>
        </w:rPr>
        <w:t>、</w:t>
      </w:r>
      <w:r>
        <w:rPr>
          <w:rFonts w:hint="eastAsia" w:asciiTheme="minorEastAsia" w:hAnsiTheme="minorEastAsia" w:eastAsiaTheme="minorEastAsia"/>
          <w:sz w:val="21"/>
          <w:szCs w:val="21"/>
          <w:highlight w:val="none"/>
          <w:lang w:val="en-US" w:eastAsia="zh-CN"/>
        </w:rPr>
        <w:t>我方</w:t>
      </w:r>
      <w:r>
        <w:rPr>
          <w:rFonts w:asciiTheme="minorEastAsia" w:hAnsiTheme="minorEastAsia" w:eastAsiaTheme="minorEastAsia"/>
          <w:sz w:val="21"/>
          <w:szCs w:val="21"/>
          <w:highlight w:val="none"/>
        </w:rPr>
        <w:t>同意杭交所</w:t>
      </w:r>
      <w:r>
        <w:rPr>
          <w:rFonts w:asciiTheme="minorEastAsia" w:hAnsiTheme="minorEastAsia" w:eastAsiaTheme="minorEastAsia"/>
          <w:sz w:val="21"/>
          <w:szCs w:val="21"/>
          <w:highlight w:val="none"/>
          <w:u w:val="single"/>
        </w:rPr>
        <w:t>在经转让方申请</w:t>
      </w:r>
      <w:r>
        <w:rPr>
          <w:rFonts w:hint="eastAsia" w:asciiTheme="minorEastAsia" w:hAnsiTheme="minorEastAsia" w:eastAsiaTheme="minorEastAsia"/>
          <w:sz w:val="21"/>
          <w:szCs w:val="21"/>
          <w:highlight w:val="none"/>
          <w:lang w:val="en-US" w:eastAsia="zh-CN"/>
        </w:rPr>
        <w:t>之</w:t>
      </w:r>
      <w:r>
        <w:rPr>
          <w:rFonts w:hint="eastAsia" w:asciiTheme="minorEastAsia" w:hAnsiTheme="minorEastAsia" w:eastAsiaTheme="minorEastAsia"/>
          <w:sz w:val="21"/>
          <w:szCs w:val="21"/>
          <w:highlight w:val="none"/>
        </w:rPr>
        <w:t>日</w:t>
      </w:r>
      <w:r>
        <w:rPr>
          <w:rFonts w:asciiTheme="minorEastAsia" w:hAnsiTheme="minorEastAsia" w:eastAsiaTheme="minorEastAsia"/>
          <w:sz w:val="21"/>
          <w:szCs w:val="21"/>
          <w:highlight w:val="none"/>
        </w:rPr>
        <w:t>起3个工作日内将</w:t>
      </w:r>
      <w:r>
        <w:rPr>
          <w:rFonts w:asciiTheme="minorEastAsia" w:hAnsiTheme="minorEastAsia" w:eastAsiaTheme="minorEastAsia"/>
          <w:sz w:val="21"/>
          <w:szCs w:val="21"/>
          <w:highlight w:val="none"/>
          <w:u w:val="single"/>
        </w:rPr>
        <w:t>受让方</w:t>
      </w:r>
      <w:r>
        <w:rPr>
          <w:rFonts w:asciiTheme="minorEastAsia" w:hAnsiTheme="minorEastAsia" w:eastAsiaTheme="minorEastAsia"/>
          <w:sz w:val="21"/>
          <w:szCs w:val="21"/>
          <w:highlight w:val="none"/>
        </w:rPr>
        <w:t>已交纳的</w:t>
      </w:r>
      <w:r>
        <w:rPr>
          <w:rFonts w:hint="eastAsia" w:asciiTheme="minorEastAsia" w:hAnsiTheme="minorEastAsia" w:eastAsiaTheme="minorEastAsia"/>
          <w:sz w:val="21"/>
          <w:szCs w:val="21"/>
          <w:highlight w:val="none"/>
          <w:u w:val="single"/>
        </w:rPr>
        <w:t>交易</w:t>
      </w:r>
      <w:r>
        <w:rPr>
          <w:rFonts w:asciiTheme="minorEastAsia" w:hAnsiTheme="minorEastAsia" w:eastAsiaTheme="minorEastAsia"/>
          <w:sz w:val="21"/>
          <w:szCs w:val="21"/>
          <w:highlight w:val="none"/>
          <w:u w:val="single"/>
        </w:rPr>
        <w:t>价款</w:t>
      </w:r>
      <w:r>
        <w:rPr>
          <w:rFonts w:hint="eastAsia" w:asciiTheme="minorEastAsia" w:hAnsiTheme="minorEastAsia" w:eastAsiaTheme="minorEastAsia"/>
          <w:sz w:val="21"/>
          <w:szCs w:val="21"/>
          <w:highlight w:val="none"/>
        </w:rPr>
        <w:t>全部划转</w:t>
      </w:r>
      <w:r>
        <w:rPr>
          <w:rFonts w:asciiTheme="minorEastAsia" w:hAnsiTheme="minorEastAsia" w:eastAsiaTheme="minorEastAsia"/>
          <w:sz w:val="21"/>
          <w:szCs w:val="21"/>
          <w:highlight w:val="none"/>
        </w:rPr>
        <w:t>至</w:t>
      </w:r>
      <w:r>
        <w:rPr>
          <w:rFonts w:asciiTheme="minorEastAsia" w:hAnsiTheme="minorEastAsia" w:eastAsiaTheme="minorEastAsia"/>
          <w:sz w:val="21"/>
          <w:szCs w:val="21"/>
          <w:highlight w:val="none"/>
          <w:u w:val="single"/>
        </w:rPr>
        <w:t>转让方</w:t>
      </w:r>
      <w:r>
        <w:rPr>
          <w:rFonts w:asciiTheme="minorEastAsia" w:hAnsiTheme="minorEastAsia" w:eastAsiaTheme="minorEastAsia"/>
          <w:sz w:val="21"/>
          <w:szCs w:val="21"/>
          <w:highlight w:val="none"/>
        </w:rPr>
        <w:t>指定账户。</w:t>
      </w:r>
    </w:p>
    <w:p w14:paraId="3384A8F8">
      <w:pPr>
        <w:keepNext w:val="0"/>
        <w:keepLines w:val="0"/>
        <w:pageBreakBefore w:val="0"/>
        <w:kinsoku/>
        <w:wordWrap/>
        <w:overflowPunct/>
        <w:topLinePunct w:val="0"/>
        <w:autoSpaceDE/>
        <w:autoSpaceDN/>
        <w:bidi w:val="0"/>
        <w:adjustRightInd/>
        <w:snapToGrid/>
        <w:spacing w:line="240" w:lineRule="auto"/>
        <w:ind w:firstLine="420" w:firstLineChars="200"/>
        <w:textAlignment w:val="auto"/>
        <w:rPr>
          <w:rFonts w:hint="eastAsia" w:asciiTheme="minorEastAsia" w:hAnsiTheme="minorEastAsia" w:eastAsiaTheme="minorEastAsia"/>
          <w:sz w:val="21"/>
          <w:szCs w:val="21"/>
          <w:highlight w:val="none"/>
          <w:lang w:val="en-US" w:eastAsia="zh-CN"/>
        </w:rPr>
      </w:pPr>
      <w:r>
        <w:rPr>
          <w:rFonts w:hint="eastAsia" w:asciiTheme="minorEastAsia" w:hAnsiTheme="minorEastAsia" w:eastAsiaTheme="minorEastAsia"/>
          <w:sz w:val="21"/>
          <w:szCs w:val="21"/>
          <w:highlight w:val="none"/>
          <w:lang w:val="en-US" w:eastAsia="zh-CN"/>
        </w:rPr>
        <w:t>6、已知悉：本项目标的交付以附件《资产交易合同》文本相关内容为准。</w:t>
      </w:r>
    </w:p>
    <w:p w14:paraId="3513D2E9">
      <w:pPr>
        <w:keepNext w:val="0"/>
        <w:keepLines w:val="0"/>
        <w:pageBreakBefore w:val="0"/>
        <w:kinsoku/>
        <w:wordWrap/>
        <w:overflowPunct/>
        <w:topLinePunct w:val="0"/>
        <w:autoSpaceDE/>
        <w:autoSpaceDN/>
        <w:bidi w:val="0"/>
        <w:adjustRightInd/>
        <w:snapToGrid/>
        <w:spacing w:line="240" w:lineRule="auto"/>
        <w:ind w:firstLine="420" w:firstLineChars="200"/>
        <w:textAlignment w:val="auto"/>
        <w:rPr>
          <w:rFonts w:hint="eastAsia" w:asciiTheme="minorEastAsia" w:hAnsiTheme="minorEastAsia" w:eastAsiaTheme="minorEastAsia"/>
          <w:sz w:val="21"/>
          <w:szCs w:val="21"/>
          <w:highlight w:val="none"/>
        </w:rPr>
      </w:pPr>
      <w:r>
        <w:rPr>
          <w:rFonts w:hint="eastAsia" w:asciiTheme="minorEastAsia" w:hAnsiTheme="minorEastAsia" w:eastAsiaTheme="minorEastAsia"/>
          <w:sz w:val="21"/>
          <w:szCs w:val="21"/>
          <w:highlight w:val="none"/>
          <w:lang w:val="en-US" w:eastAsia="zh-CN"/>
        </w:rPr>
        <w:t>7、已知悉：本项目受让方须交纳成交金额4%的交易服务费。</w:t>
      </w:r>
    </w:p>
    <w:p w14:paraId="40E2B5C5">
      <w:pPr>
        <w:keepNext w:val="0"/>
        <w:keepLines w:val="0"/>
        <w:pageBreakBefore w:val="0"/>
        <w:kinsoku/>
        <w:wordWrap/>
        <w:overflowPunct/>
        <w:topLinePunct w:val="0"/>
        <w:autoSpaceDE/>
        <w:autoSpaceDN/>
        <w:bidi w:val="0"/>
        <w:adjustRightInd/>
        <w:snapToGrid/>
        <w:spacing w:line="240" w:lineRule="auto"/>
        <w:ind w:firstLine="420" w:firstLineChars="200"/>
        <w:textAlignment w:val="auto"/>
        <w:rPr>
          <w:rFonts w:asciiTheme="minorEastAsia" w:hAnsiTheme="minorEastAsia" w:eastAsiaTheme="minorEastAsia"/>
          <w:sz w:val="21"/>
          <w:szCs w:val="21"/>
          <w:highlight w:val="none"/>
        </w:rPr>
      </w:pPr>
      <w:r>
        <w:rPr>
          <w:rFonts w:hint="eastAsia" w:asciiTheme="minorEastAsia" w:hAnsiTheme="minorEastAsia" w:eastAsiaTheme="minorEastAsia"/>
          <w:sz w:val="21"/>
          <w:szCs w:val="21"/>
          <w:highlight w:val="none"/>
          <w:lang w:val="en-US" w:eastAsia="zh-CN"/>
        </w:rPr>
        <w:t>8</w:t>
      </w:r>
      <w:r>
        <w:rPr>
          <w:rFonts w:asciiTheme="minorEastAsia" w:hAnsiTheme="minorEastAsia" w:eastAsiaTheme="minorEastAsia"/>
          <w:sz w:val="21"/>
          <w:szCs w:val="21"/>
          <w:highlight w:val="none"/>
        </w:rPr>
        <w:t>、若非</w:t>
      </w:r>
      <w:r>
        <w:rPr>
          <w:rFonts w:asciiTheme="minorEastAsia" w:hAnsiTheme="minorEastAsia" w:eastAsiaTheme="minorEastAsia"/>
          <w:sz w:val="21"/>
          <w:szCs w:val="21"/>
          <w:highlight w:val="none"/>
          <w:u w:val="single"/>
        </w:rPr>
        <w:t>转让方</w:t>
      </w:r>
      <w:r>
        <w:rPr>
          <w:rFonts w:asciiTheme="minorEastAsia" w:hAnsiTheme="minorEastAsia" w:eastAsiaTheme="minorEastAsia"/>
          <w:sz w:val="21"/>
          <w:szCs w:val="21"/>
          <w:highlight w:val="none"/>
        </w:rPr>
        <w:t>原因，出现以下任一情况时，</w:t>
      </w:r>
      <w:r>
        <w:rPr>
          <w:rFonts w:asciiTheme="minorEastAsia" w:hAnsiTheme="minorEastAsia" w:eastAsiaTheme="minorEastAsia"/>
          <w:sz w:val="21"/>
          <w:szCs w:val="21"/>
          <w:highlight w:val="none"/>
          <w:u w:val="single"/>
        </w:rPr>
        <w:t>意向受让方</w:t>
      </w:r>
      <w:r>
        <w:rPr>
          <w:rFonts w:asciiTheme="minorEastAsia" w:hAnsiTheme="minorEastAsia" w:eastAsiaTheme="minorEastAsia"/>
          <w:sz w:val="21"/>
          <w:szCs w:val="21"/>
          <w:highlight w:val="none"/>
        </w:rPr>
        <w:t>交纳的保证金</w:t>
      </w:r>
      <w:r>
        <w:rPr>
          <w:rFonts w:hint="eastAsia" w:asciiTheme="minorEastAsia" w:hAnsiTheme="minorEastAsia" w:eastAsiaTheme="minorEastAsia"/>
          <w:sz w:val="21"/>
          <w:szCs w:val="21"/>
          <w:highlight w:val="none"/>
        </w:rPr>
        <w:t>不予退还</w:t>
      </w:r>
      <w:r>
        <w:rPr>
          <w:rFonts w:asciiTheme="minorEastAsia" w:hAnsiTheme="minorEastAsia" w:eastAsiaTheme="minorEastAsia"/>
          <w:sz w:val="21"/>
          <w:szCs w:val="21"/>
          <w:highlight w:val="none"/>
        </w:rPr>
        <w:t>，先用于补偿</w:t>
      </w:r>
      <w:r>
        <w:rPr>
          <w:rFonts w:hint="eastAsia" w:asciiTheme="minorEastAsia" w:hAnsiTheme="minorEastAsia" w:eastAsiaTheme="minorEastAsia"/>
          <w:sz w:val="21"/>
          <w:szCs w:val="21"/>
          <w:highlight w:val="none"/>
          <w:u w:val="single"/>
        </w:rPr>
        <w:t>杭交所</w:t>
      </w:r>
      <w:r>
        <w:rPr>
          <w:rFonts w:asciiTheme="minorEastAsia" w:hAnsiTheme="minorEastAsia" w:eastAsiaTheme="minorEastAsia"/>
          <w:sz w:val="21"/>
          <w:szCs w:val="21"/>
          <w:highlight w:val="none"/>
        </w:rPr>
        <w:t>的各项服务费，剩余部分作为对</w:t>
      </w:r>
      <w:r>
        <w:rPr>
          <w:rFonts w:asciiTheme="minorEastAsia" w:hAnsiTheme="minorEastAsia" w:eastAsiaTheme="minorEastAsia"/>
          <w:sz w:val="21"/>
          <w:szCs w:val="21"/>
          <w:highlight w:val="none"/>
          <w:u w:val="single"/>
        </w:rPr>
        <w:t>转让方</w:t>
      </w:r>
      <w:r>
        <w:rPr>
          <w:rFonts w:asciiTheme="minorEastAsia" w:hAnsiTheme="minorEastAsia" w:eastAsiaTheme="minorEastAsia"/>
          <w:sz w:val="21"/>
          <w:szCs w:val="21"/>
          <w:highlight w:val="none"/>
        </w:rPr>
        <w:t>的经济补偿金，保证金不足以补偿的，相关方有权按照实际损失继续追诉：</w:t>
      </w:r>
      <w:r>
        <w:rPr>
          <w:rFonts w:hint="eastAsia" w:asciiTheme="minorEastAsia" w:hAnsiTheme="minorEastAsia" w:eastAsiaTheme="minorEastAsia"/>
          <w:sz w:val="21"/>
          <w:szCs w:val="21"/>
          <w:highlight w:val="none"/>
        </w:rPr>
        <w:t xml:space="preserve"> </w:t>
      </w:r>
    </w:p>
    <w:p w14:paraId="0F8D6816">
      <w:pPr>
        <w:keepNext w:val="0"/>
        <w:keepLines w:val="0"/>
        <w:pageBreakBefore w:val="0"/>
        <w:kinsoku/>
        <w:wordWrap/>
        <w:overflowPunct/>
        <w:topLinePunct w:val="0"/>
        <w:autoSpaceDE/>
        <w:autoSpaceDN/>
        <w:bidi w:val="0"/>
        <w:adjustRightInd/>
        <w:snapToGrid/>
        <w:spacing w:line="240" w:lineRule="auto"/>
        <w:ind w:firstLine="420" w:firstLineChars="200"/>
        <w:textAlignment w:val="auto"/>
        <w:rPr>
          <w:rFonts w:asciiTheme="minorEastAsia" w:hAnsiTheme="minorEastAsia" w:eastAsiaTheme="minorEastAsia"/>
          <w:sz w:val="21"/>
          <w:szCs w:val="21"/>
          <w:highlight w:val="none"/>
        </w:rPr>
      </w:pPr>
      <w:r>
        <w:rPr>
          <w:rFonts w:hint="eastAsia" w:asciiTheme="minorEastAsia" w:hAnsiTheme="minorEastAsia" w:eastAsiaTheme="minorEastAsia"/>
          <w:sz w:val="21"/>
          <w:szCs w:val="21"/>
          <w:highlight w:val="none"/>
        </w:rPr>
        <w:t>（1）</w:t>
      </w:r>
      <w:r>
        <w:rPr>
          <w:rFonts w:asciiTheme="minorEastAsia" w:hAnsiTheme="minorEastAsia" w:eastAsiaTheme="minorEastAsia"/>
          <w:sz w:val="21"/>
          <w:szCs w:val="21"/>
          <w:highlight w:val="none"/>
          <w:u w:val="single"/>
        </w:rPr>
        <w:t>意向受让方</w:t>
      </w:r>
      <w:r>
        <w:rPr>
          <w:rFonts w:asciiTheme="minorEastAsia" w:hAnsiTheme="minorEastAsia" w:eastAsiaTheme="minorEastAsia"/>
          <w:sz w:val="21"/>
          <w:szCs w:val="21"/>
          <w:highlight w:val="none"/>
        </w:rPr>
        <w:t>提交</w:t>
      </w:r>
      <w:r>
        <w:rPr>
          <w:rFonts w:asciiTheme="minorEastAsia" w:hAnsiTheme="minorEastAsia" w:eastAsiaTheme="minorEastAsia"/>
          <w:sz w:val="21"/>
          <w:szCs w:val="21"/>
          <w:highlight w:val="none"/>
          <w:u w:val="single"/>
        </w:rPr>
        <w:t>受让</w:t>
      </w:r>
      <w:r>
        <w:rPr>
          <w:rFonts w:asciiTheme="minorEastAsia" w:hAnsiTheme="minorEastAsia" w:eastAsiaTheme="minorEastAsia"/>
          <w:sz w:val="21"/>
          <w:szCs w:val="21"/>
          <w:highlight w:val="none"/>
        </w:rPr>
        <w:t>申请</w:t>
      </w:r>
      <w:r>
        <w:rPr>
          <w:rFonts w:hint="eastAsia" w:asciiTheme="minorEastAsia" w:hAnsiTheme="minorEastAsia" w:eastAsiaTheme="minorEastAsia"/>
          <w:sz w:val="21"/>
          <w:szCs w:val="21"/>
          <w:highlight w:val="none"/>
          <w:lang w:val="en-US" w:eastAsia="zh-CN"/>
        </w:rPr>
        <w:t>材料</w:t>
      </w:r>
      <w:r>
        <w:rPr>
          <w:rFonts w:asciiTheme="minorEastAsia" w:hAnsiTheme="minorEastAsia" w:eastAsiaTheme="minorEastAsia"/>
          <w:sz w:val="21"/>
          <w:szCs w:val="21"/>
          <w:highlight w:val="none"/>
        </w:rPr>
        <w:t>并交纳交易保证金后单方撤回</w:t>
      </w:r>
      <w:r>
        <w:rPr>
          <w:rFonts w:asciiTheme="minorEastAsia" w:hAnsiTheme="minorEastAsia"/>
          <w:sz w:val="21"/>
          <w:szCs w:val="21"/>
          <w:highlight w:val="none"/>
          <w:u w:val="single"/>
        </w:rPr>
        <w:t>受让</w:t>
      </w:r>
      <w:r>
        <w:rPr>
          <w:rFonts w:asciiTheme="minorEastAsia" w:hAnsiTheme="minorEastAsia" w:eastAsiaTheme="minorEastAsia"/>
          <w:sz w:val="21"/>
          <w:szCs w:val="21"/>
          <w:highlight w:val="none"/>
        </w:rPr>
        <w:t>申请的；</w:t>
      </w:r>
    </w:p>
    <w:p w14:paraId="7298A6B2">
      <w:pPr>
        <w:keepNext w:val="0"/>
        <w:keepLines w:val="0"/>
        <w:pageBreakBefore w:val="0"/>
        <w:kinsoku/>
        <w:wordWrap/>
        <w:overflowPunct/>
        <w:topLinePunct w:val="0"/>
        <w:autoSpaceDE/>
        <w:autoSpaceDN/>
        <w:bidi w:val="0"/>
        <w:adjustRightInd/>
        <w:snapToGrid/>
        <w:spacing w:line="240" w:lineRule="auto"/>
        <w:ind w:firstLine="420" w:firstLineChars="200"/>
        <w:textAlignment w:val="auto"/>
        <w:rPr>
          <w:rFonts w:asciiTheme="minorEastAsia" w:hAnsiTheme="minorEastAsia" w:eastAsiaTheme="minorEastAsia"/>
          <w:sz w:val="21"/>
          <w:szCs w:val="21"/>
          <w:highlight w:val="none"/>
        </w:rPr>
      </w:pPr>
      <w:r>
        <w:rPr>
          <w:rFonts w:hint="eastAsia" w:asciiTheme="minorEastAsia" w:hAnsiTheme="minorEastAsia" w:eastAsiaTheme="minorEastAsia"/>
          <w:sz w:val="21"/>
          <w:szCs w:val="21"/>
          <w:highlight w:val="none"/>
        </w:rPr>
        <w:t>（2）产生符合条件</w:t>
      </w:r>
      <w:r>
        <w:rPr>
          <w:rFonts w:asciiTheme="minorEastAsia" w:hAnsiTheme="minorEastAsia" w:eastAsiaTheme="minorEastAsia"/>
          <w:sz w:val="21"/>
          <w:szCs w:val="21"/>
          <w:highlight w:val="none"/>
        </w:rPr>
        <w:t>的</w:t>
      </w:r>
      <w:r>
        <w:rPr>
          <w:rFonts w:asciiTheme="minorEastAsia" w:hAnsiTheme="minorEastAsia" w:eastAsiaTheme="minorEastAsia"/>
          <w:sz w:val="21"/>
          <w:szCs w:val="21"/>
          <w:highlight w:val="none"/>
          <w:u w:val="single"/>
        </w:rPr>
        <w:t>意向受让方</w:t>
      </w:r>
      <w:r>
        <w:rPr>
          <w:rFonts w:asciiTheme="minorEastAsia" w:hAnsiTheme="minorEastAsia" w:eastAsiaTheme="minorEastAsia"/>
          <w:sz w:val="21"/>
          <w:szCs w:val="21"/>
          <w:highlight w:val="none"/>
        </w:rPr>
        <w:t>后，各</w:t>
      </w:r>
      <w:r>
        <w:rPr>
          <w:rFonts w:asciiTheme="minorEastAsia" w:hAnsiTheme="minorEastAsia" w:eastAsiaTheme="minorEastAsia"/>
          <w:sz w:val="21"/>
          <w:szCs w:val="21"/>
          <w:highlight w:val="none"/>
          <w:u w:val="single"/>
        </w:rPr>
        <w:t>意向受让方</w:t>
      </w:r>
      <w:r>
        <w:rPr>
          <w:rFonts w:asciiTheme="minorEastAsia" w:hAnsiTheme="minorEastAsia" w:eastAsiaTheme="minorEastAsia"/>
          <w:sz w:val="21"/>
          <w:szCs w:val="21"/>
          <w:highlight w:val="none"/>
        </w:rPr>
        <w:t>在竞价期间均不报价的；</w:t>
      </w:r>
    </w:p>
    <w:p w14:paraId="1E791635">
      <w:pPr>
        <w:keepNext w:val="0"/>
        <w:keepLines w:val="0"/>
        <w:pageBreakBefore w:val="0"/>
        <w:kinsoku/>
        <w:wordWrap/>
        <w:overflowPunct/>
        <w:topLinePunct w:val="0"/>
        <w:autoSpaceDE/>
        <w:autoSpaceDN/>
        <w:bidi w:val="0"/>
        <w:adjustRightInd/>
        <w:snapToGrid/>
        <w:spacing w:line="240" w:lineRule="auto"/>
        <w:ind w:firstLine="420" w:firstLineChars="200"/>
        <w:textAlignment w:val="auto"/>
        <w:rPr>
          <w:rFonts w:asciiTheme="minorEastAsia" w:hAnsiTheme="minorEastAsia" w:eastAsiaTheme="minorEastAsia"/>
          <w:sz w:val="21"/>
          <w:szCs w:val="21"/>
          <w:highlight w:val="none"/>
        </w:rPr>
      </w:pPr>
      <w:r>
        <w:rPr>
          <w:rFonts w:hint="eastAsia" w:asciiTheme="minorEastAsia" w:hAnsiTheme="minorEastAsia" w:eastAsiaTheme="minorEastAsia"/>
          <w:sz w:val="21"/>
          <w:szCs w:val="21"/>
          <w:highlight w:val="none"/>
        </w:rPr>
        <w:t>（3）</w:t>
      </w:r>
      <w:r>
        <w:rPr>
          <w:rFonts w:asciiTheme="minorEastAsia" w:hAnsiTheme="minorEastAsia" w:eastAsiaTheme="minorEastAsia"/>
          <w:sz w:val="21"/>
          <w:szCs w:val="21"/>
          <w:highlight w:val="none"/>
        </w:rPr>
        <w:t>在被确</w:t>
      </w:r>
      <w:r>
        <w:rPr>
          <w:rFonts w:hint="eastAsia" w:asciiTheme="minorEastAsia" w:hAnsiTheme="minorEastAsia" w:eastAsiaTheme="minorEastAsia"/>
          <w:sz w:val="21"/>
          <w:szCs w:val="21"/>
          <w:highlight w:val="none"/>
        </w:rPr>
        <w:t>定</w:t>
      </w:r>
      <w:r>
        <w:rPr>
          <w:rFonts w:asciiTheme="minorEastAsia" w:hAnsiTheme="minorEastAsia" w:eastAsiaTheme="minorEastAsia"/>
          <w:sz w:val="21"/>
          <w:szCs w:val="21"/>
          <w:highlight w:val="none"/>
        </w:rPr>
        <w:t>为</w:t>
      </w:r>
      <w:r>
        <w:rPr>
          <w:rFonts w:asciiTheme="minorEastAsia" w:hAnsiTheme="minorEastAsia" w:eastAsiaTheme="minorEastAsia"/>
          <w:sz w:val="21"/>
          <w:szCs w:val="21"/>
          <w:highlight w:val="none"/>
          <w:u w:val="single"/>
        </w:rPr>
        <w:t>受让方</w:t>
      </w:r>
      <w:r>
        <w:rPr>
          <w:rFonts w:asciiTheme="minorEastAsia" w:hAnsiTheme="minorEastAsia" w:eastAsiaTheme="minorEastAsia"/>
          <w:sz w:val="21"/>
          <w:szCs w:val="21"/>
          <w:highlight w:val="none"/>
        </w:rPr>
        <w:t>后未按约定签署</w:t>
      </w:r>
      <w:r>
        <w:rPr>
          <w:rFonts w:hint="eastAsia" w:asciiTheme="minorEastAsia" w:hAnsiTheme="minorEastAsia"/>
          <w:sz w:val="21"/>
          <w:szCs w:val="21"/>
          <w:highlight w:val="none"/>
          <w:u w:val="single"/>
        </w:rPr>
        <w:t>《资产交易合同》</w:t>
      </w:r>
      <w:r>
        <w:rPr>
          <w:rFonts w:asciiTheme="minorEastAsia" w:hAnsiTheme="minorEastAsia" w:eastAsiaTheme="minorEastAsia"/>
          <w:sz w:val="21"/>
          <w:szCs w:val="21"/>
          <w:highlight w:val="none"/>
        </w:rPr>
        <w:t>的或未按约定支付</w:t>
      </w:r>
      <w:r>
        <w:rPr>
          <w:rFonts w:hint="eastAsia" w:asciiTheme="minorEastAsia" w:hAnsiTheme="minorEastAsia" w:eastAsiaTheme="minorEastAsia"/>
          <w:sz w:val="21"/>
          <w:szCs w:val="21"/>
          <w:highlight w:val="none"/>
          <w:u w:val="single"/>
          <w:lang w:val="en-US" w:eastAsia="zh-CN"/>
        </w:rPr>
        <w:t>交易服务费、履约保证金、交易价款</w:t>
      </w:r>
      <w:r>
        <w:rPr>
          <w:rFonts w:asciiTheme="minorEastAsia" w:hAnsiTheme="minorEastAsia" w:eastAsiaTheme="minorEastAsia"/>
          <w:sz w:val="21"/>
          <w:szCs w:val="21"/>
          <w:highlight w:val="none"/>
        </w:rPr>
        <w:t>的；</w:t>
      </w:r>
    </w:p>
    <w:p w14:paraId="427F066B">
      <w:pPr>
        <w:keepNext w:val="0"/>
        <w:keepLines w:val="0"/>
        <w:pageBreakBefore w:val="0"/>
        <w:kinsoku/>
        <w:wordWrap/>
        <w:overflowPunct/>
        <w:topLinePunct w:val="0"/>
        <w:autoSpaceDE/>
        <w:autoSpaceDN/>
        <w:bidi w:val="0"/>
        <w:adjustRightInd/>
        <w:snapToGrid/>
        <w:spacing w:line="240" w:lineRule="auto"/>
        <w:ind w:firstLine="420" w:firstLineChars="200"/>
        <w:textAlignment w:val="auto"/>
        <w:rPr>
          <w:rFonts w:asciiTheme="minorEastAsia" w:hAnsiTheme="minorEastAsia" w:eastAsiaTheme="minorEastAsia"/>
          <w:sz w:val="21"/>
          <w:szCs w:val="21"/>
          <w:highlight w:val="none"/>
        </w:rPr>
      </w:pPr>
      <w:r>
        <w:rPr>
          <w:rFonts w:hint="eastAsia" w:asciiTheme="minorEastAsia" w:hAnsiTheme="minorEastAsia" w:eastAsiaTheme="minorEastAsia"/>
          <w:sz w:val="21"/>
          <w:szCs w:val="21"/>
          <w:highlight w:val="none"/>
        </w:rPr>
        <w:t>（4）</w:t>
      </w:r>
      <w:r>
        <w:rPr>
          <w:rFonts w:asciiTheme="minorEastAsia" w:hAnsiTheme="minorEastAsia" w:eastAsiaTheme="minorEastAsia"/>
          <w:sz w:val="21"/>
          <w:szCs w:val="21"/>
          <w:highlight w:val="none"/>
          <w:u w:val="single"/>
        </w:rPr>
        <w:t>意向受让方</w:t>
      </w:r>
      <w:r>
        <w:rPr>
          <w:rFonts w:asciiTheme="minorEastAsia" w:hAnsiTheme="minorEastAsia" w:eastAsiaTheme="minorEastAsia"/>
          <w:sz w:val="21"/>
          <w:szCs w:val="21"/>
          <w:highlight w:val="none"/>
        </w:rPr>
        <w:t>未履行书面承诺事项的；</w:t>
      </w:r>
    </w:p>
    <w:p w14:paraId="50EE3F03">
      <w:pPr>
        <w:keepNext w:val="0"/>
        <w:keepLines w:val="0"/>
        <w:pageBreakBefore w:val="0"/>
        <w:kinsoku/>
        <w:wordWrap/>
        <w:overflowPunct/>
        <w:topLinePunct w:val="0"/>
        <w:autoSpaceDE/>
        <w:autoSpaceDN/>
        <w:bidi w:val="0"/>
        <w:adjustRightInd/>
        <w:snapToGrid/>
        <w:spacing w:line="240" w:lineRule="auto"/>
        <w:ind w:firstLine="420" w:firstLineChars="200"/>
        <w:textAlignment w:val="auto"/>
        <w:rPr>
          <w:rFonts w:asciiTheme="minorEastAsia" w:hAnsiTheme="minorEastAsia" w:eastAsiaTheme="minorEastAsia"/>
          <w:sz w:val="21"/>
          <w:szCs w:val="21"/>
          <w:highlight w:val="none"/>
        </w:rPr>
      </w:pPr>
      <w:r>
        <w:rPr>
          <w:rFonts w:asciiTheme="minorEastAsia" w:hAnsiTheme="minorEastAsia" w:eastAsiaTheme="minorEastAsia"/>
          <w:sz w:val="21"/>
          <w:szCs w:val="21"/>
          <w:highlight w:val="none"/>
        </w:rPr>
        <w:t>（5）</w:t>
      </w:r>
      <w:r>
        <w:rPr>
          <w:rFonts w:hint="eastAsia" w:asciiTheme="minorEastAsia" w:hAnsiTheme="minorEastAsia" w:eastAsiaTheme="minorEastAsia"/>
          <w:sz w:val="21"/>
          <w:szCs w:val="21"/>
          <w:highlight w:val="none"/>
        </w:rPr>
        <w:t>存在其他违反交易规则情形的</w:t>
      </w:r>
      <w:r>
        <w:rPr>
          <w:rFonts w:asciiTheme="minorEastAsia" w:hAnsiTheme="minorEastAsia" w:eastAsiaTheme="minorEastAsia"/>
          <w:sz w:val="21"/>
          <w:szCs w:val="21"/>
          <w:highlight w:val="none"/>
        </w:rPr>
        <w:t>。</w:t>
      </w:r>
    </w:p>
    <w:p w14:paraId="17B56BD1">
      <w:pPr>
        <w:keepNext w:val="0"/>
        <w:keepLines w:val="0"/>
        <w:pageBreakBefore w:val="0"/>
        <w:kinsoku/>
        <w:wordWrap/>
        <w:overflowPunct/>
        <w:topLinePunct w:val="0"/>
        <w:autoSpaceDE/>
        <w:autoSpaceDN/>
        <w:bidi w:val="0"/>
        <w:adjustRightInd/>
        <w:snapToGrid/>
        <w:spacing w:line="240" w:lineRule="auto"/>
        <w:textAlignment w:val="auto"/>
        <w:rPr>
          <w:rFonts w:asciiTheme="minorEastAsia" w:hAnsiTheme="minorEastAsia" w:eastAsiaTheme="minorEastAsia"/>
          <w:sz w:val="21"/>
          <w:szCs w:val="21"/>
          <w:highlight w:val="none"/>
        </w:rPr>
      </w:pPr>
    </w:p>
    <w:p w14:paraId="6E5719E0">
      <w:pPr>
        <w:keepNext w:val="0"/>
        <w:keepLines w:val="0"/>
        <w:pageBreakBefore w:val="0"/>
        <w:kinsoku/>
        <w:wordWrap/>
        <w:overflowPunct/>
        <w:topLinePunct w:val="0"/>
        <w:autoSpaceDE/>
        <w:autoSpaceDN/>
        <w:bidi w:val="0"/>
        <w:adjustRightInd/>
        <w:snapToGrid/>
        <w:spacing w:line="240" w:lineRule="auto"/>
        <w:textAlignment w:val="auto"/>
        <w:rPr>
          <w:rFonts w:asciiTheme="minorEastAsia" w:hAnsiTheme="minorEastAsia" w:eastAsiaTheme="minorEastAsia"/>
          <w:sz w:val="21"/>
          <w:szCs w:val="21"/>
          <w:highlight w:val="none"/>
        </w:rPr>
      </w:pPr>
    </w:p>
    <w:p w14:paraId="2900F326">
      <w:pPr>
        <w:keepNext w:val="0"/>
        <w:keepLines w:val="0"/>
        <w:pageBreakBefore w:val="0"/>
        <w:kinsoku/>
        <w:wordWrap/>
        <w:overflowPunct/>
        <w:topLinePunct w:val="0"/>
        <w:autoSpaceDE/>
        <w:autoSpaceDN/>
        <w:bidi w:val="0"/>
        <w:adjustRightInd/>
        <w:snapToGrid/>
        <w:spacing w:line="240" w:lineRule="auto"/>
        <w:textAlignment w:val="auto"/>
        <w:rPr>
          <w:rFonts w:asciiTheme="minorEastAsia" w:hAnsiTheme="minorEastAsia" w:eastAsiaTheme="minorEastAsia"/>
          <w:sz w:val="21"/>
          <w:szCs w:val="21"/>
          <w:highlight w:val="none"/>
        </w:rPr>
      </w:pPr>
    </w:p>
    <w:p w14:paraId="51FD598A">
      <w:pPr>
        <w:keepNext w:val="0"/>
        <w:keepLines w:val="0"/>
        <w:pageBreakBefore w:val="0"/>
        <w:kinsoku/>
        <w:wordWrap/>
        <w:overflowPunct/>
        <w:topLinePunct w:val="0"/>
        <w:autoSpaceDE/>
        <w:autoSpaceDN/>
        <w:bidi w:val="0"/>
        <w:adjustRightInd/>
        <w:snapToGrid/>
        <w:spacing w:line="240" w:lineRule="auto"/>
        <w:textAlignment w:val="auto"/>
        <w:rPr>
          <w:rFonts w:asciiTheme="minorEastAsia" w:hAnsiTheme="minorEastAsia" w:eastAsiaTheme="minorEastAsia"/>
          <w:sz w:val="21"/>
          <w:szCs w:val="21"/>
          <w:highlight w:val="none"/>
        </w:rPr>
      </w:pPr>
      <w:r>
        <w:rPr>
          <w:rFonts w:hint="eastAsia" w:asciiTheme="minorEastAsia" w:hAnsiTheme="minorEastAsia" w:eastAsiaTheme="minorEastAsia"/>
          <w:sz w:val="21"/>
          <w:szCs w:val="21"/>
          <w:highlight w:val="none"/>
        </w:rPr>
        <w:t xml:space="preserve">                                </w:t>
      </w:r>
      <w:r>
        <w:rPr>
          <w:rFonts w:hint="eastAsia" w:asciiTheme="minorEastAsia" w:hAnsiTheme="minorEastAsia" w:eastAsiaTheme="minorEastAsia"/>
          <w:sz w:val="21"/>
          <w:szCs w:val="21"/>
          <w:highlight w:val="none"/>
          <w:lang w:val="en-US" w:eastAsia="zh-CN"/>
        </w:rPr>
        <w:t xml:space="preserve">          </w:t>
      </w:r>
      <w:r>
        <w:rPr>
          <w:rFonts w:hint="eastAsia" w:asciiTheme="minorEastAsia" w:hAnsiTheme="minorEastAsia" w:eastAsiaTheme="minorEastAsia"/>
          <w:sz w:val="21"/>
          <w:szCs w:val="21"/>
          <w:highlight w:val="none"/>
        </w:rPr>
        <w:t>意向受让方（签章）：</w:t>
      </w:r>
    </w:p>
    <w:p w14:paraId="3ED3DE55">
      <w:pPr>
        <w:keepNext w:val="0"/>
        <w:keepLines w:val="0"/>
        <w:pageBreakBefore w:val="0"/>
        <w:kinsoku/>
        <w:wordWrap/>
        <w:overflowPunct/>
        <w:topLinePunct w:val="0"/>
        <w:autoSpaceDE/>
        <w:autoSpaceDN/>
        <w:bidi w:val="0"/>
        <w:adjustRightInd/>
        <w:snapToGrid/>
        <w:spacing w:line="240" w:lineRule="auto"/>
        <w:jc w:val="right"/>
        <w:textAlignment w:val="auto"/>
        <w:rPr>
          <w:rFonts w:asciiTheme="minorEastAsia" w:hAnsiTheme="minorEastAsia" w:eastAsiaTheme="minorEastAsia"/>
          <w:sz w:val="21"/>
          <w:szCs w:val="21"/>
          <w:highlight w:val="none"/>
        </w:rPr>
      </w:pPr>
      <w:r>
        <w:rPr>
          <w:rFonts w:hint="eastAsia" w:asciiTheme="minorEastAsia" w:hAnsiTheme="minorEastAsia" w:eastAsiaTheme="minorEastAsia"/>
          <w:sz w:val="21"/>
          <w:szCs w:val="21"/>
          <w:highlight w:val="none"/>
        </w:rPr>
        <w:t xml:space="preserve">                                               </w:t>
      </w:r>
      <w:r>
        <w:rPr>
          <w:rFonts w:hint="eastAsia" w:asciiTheme="minorEastAsia" w:hAnsiTheme="minorEastAsia" w:eastAsiaTheme="minorEastAsia"/>
          <w:sz w:val="21"/>
          <w:szCs w:val="21"/>
          <w:highlight w:val="none"/>
          <w:lang w:val="en-US" w:eastAsia="zh-CN"/>
        </w:rPr>
        <w:t>2024</w:t>
      </w:r>
      <w:r>
        <w:rPr>
          <w:rFonts w:hint="eastAsia" w:asciiTheme="minorEastAsia" w:hAnsiTheme="minorEastAsia" w:eastAsiaTheme="minorEastAsia"/>
          <w:sz w:val="21"/>
          <w:szCs w:val="21"/>
          <w:highlight w:val="none"/>
        </w:rPr>
        <w:t>年   月   日</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modern"/>
    <w:pitch w:val="default"/>
    <w:sig w:usb0="E0002EFF" w:usb1="C000785B" w:usb2="00000009" w:usb3="00000000" w:csb0="400001FF" w:csb1="FFFF0000"/>
  </w:font>
  <w:font w:name="宋体">
    <w:panose1 w:val="02010600030101010101"/>
    <w:charset w:val="5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view w:val="normal"/>
  <w:zoom w:percent="120"/>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GFjN2Y2ZGI5N2Y1MmE0NDU5YzdjMzk1N2E3MzY5ZTQifQ=="/>
  </w:docVars>
  <w:rsids>
    <w:rsidRoot w:val="007E4EDD"/>
    <w:rsid w:val="000119B9"/>
    <w:rsid w:val="0003337E"/>
    <w:rsid w:val="00092C9D"/>
    <w:rsid w:val="00143D8A"/>
    <w:rsid w:val="001E7226"/>
    <w:rsid w:val="0020310B"/>
    <w:rsid w:val="002278BB"/>
    <w:rsid w:val="002526A0"/>
    <w:rsid w:val="00255411"/>
    <w:rsid w:val="00274544"/>
    <w:rsid w:val="002E137C"/>
    <w:rsid w:val="002F36D9"/>
    <w:rsid w:val="003229C2"/>
    <w:rsid w:val="003A2F6F"/>
    <w:rsid w:val="003E079C"/>
    <w:rsid w:val="00413930"/>
    <w:rsid w:val="00430675"/>
    <w:rsid w:val="004900C6"/>
    <w:rsid w:val="004C246D"/>
    <w:rsid w:val="004D1B74"/>
    <w:rsid w:val="004E1479"/>
    <w:rsid w:val="004E3107"/>
    <w:rsid w:val="004F3BEF"/>
    <w:rsid w:val="00503879"/>
    <w:rsid w:val="005104B5"/>
    <w:rsid w:val="0055051A"/>
    <w:rsid w:val="005A37D0"/>
    <w:rsid w:val="0060197B"/>
    <w:rsid w:val="00627BE3"/>
    <w:rsid w:val="00662215"/>
    <w:rsid w:val="00737286"/>
    <w:rsid w:val="007847DD"/>
    <w:rsid w:val="00790D21"/>
    <w:rsid w:val="007E4EDD"/>
    <w:rsid w:val="0082311C"/>
    <w:rsid w:val="0084282E"/>
    <w:rsid w:val="00884F8A"/>
    <w:rsid w:val="008D72E8"/>
    <w:rsid w:val="00906FAC"/>
    <w:rsid w:val="00934A3A"/>
    <w:rsid w:val="0096235F"/>
    <w:rsid w:val="009733B3"/>
    <w:rsid w:val="009E27F0"/>
    <w:rsid w:val="009F646A"/>
    <w:rsid w:val="00A11F15"/>
    <w:rsid w:val="00A24DD0"/>
    <w:rsid w:val="00A53E81"/>
    <w:rsid w:val="00A66AE6"/>
    <w:rsid w:val="00A96775"/>
    <w:rsid w:val="00AA4243"/>
    <w:rsid w:val="00AF7180"/>
    <w:rsid w:val="00B15A11"/>
    <w:rsid w:val="00B170BB"/>
    <w:rsid w:val="00B36433"/>
    <w:rsid w:val="00B91182"/>
    <w:rsid w:val="00B923AA"/>
    <w:rsid w:val="00BD7EAF"/>
    <w:rsid w:val="00C02F3D"/>
    <w:rsid w:val="00C07B7D"/>
    <w:rsid w:val="00C2125E"/>
    <w:rsid w:val="00C300A5"/>
    <w:rsid w:val="00C434EA"/>
    <w:rsid w:val="00C76683"/>
    <w:rsid w:val="00C80243"/>
    <w:rsid w:val="00C85BC7"/>
    <w:rsid w:val="00CB5B8C"/>
    <w:rsid w:val="00CF4007"/>
    <w:rsid w:val="00D56D57"/>
    <w:rsid w:val="00DD02F6"/>
    <w:rsid w:val="00E00E55"/>
    <w:rsid w:val="00E10ADA"/>
    <w:rsid w:val="00E60BD5"/>
    <w:rsid w:val="00ED0403"/>
    <w:rsid w:val="00ED4E9F"/>
    <w:rsid w:val="00EF62AF"/>
    <w:rsid w:val="00F06BEC"/>
    <w:rsid w:val="00F47654"/>
    <w:rsid w:val="00FA0343"/>
    <w:rsid w:val="00FA6AB7"/>
    <w:rsid w:val="016E0E1A"/>
    <w:rsid w:val="019C1EEA"/>
    <w:rsid w:val="01E5402C"/>
    <w:rsid w:val="01EE0D92"/>
    <w:rsid w:val="03066051"/>
    <w:rsid w:val="03637B8E"/>
    <w:rsid w:val="038C6770"/>
    <w:rsid w:val="06130395"/>
    <w:rsid w:val="09F84EEE"/>
    <w:rsid w:val="0A075DE9"/>
    <w:rsid w:val="0A9904F8"/>
    <w:rsid w:val="0AF64B9E"/>
    <w:rsid w:val="0B3F1733"/>
    <w:rsid w:val="0C9A39F6"/>
    <w:rsid w:val="0DBB2016"/>
    <w:rsid w:val="0DF1051E"/>
    <w:rsid w:val="0E7F2650"/>
    <w:rsid w:val="0F45273F"/>
    <w:rsid w:val="0F8A47E5"/>
    <w:rsid w:val="0FB467C0"/>
    <w:rsid w:val="10D02524"/>
    <w:rsid w:val="12BB565B"/>
    <w:rsid w:val="130F16A8"/>
    <w:rsid w:val="14280856"/>
    <w:rsid w:val="173E5800"/>
    <w:rsid w:val="1AD84045"/>
    <w:rsid w:val="1BC91762"/>
    <w:rsid w:val="1D006A94"/>
    <w:rsid w:val="1DFE0F47"/>
    <w:rsid w:val="1FC50A7B"/>
    <w:rsid w:val="20CA34BB"/>
    <w:rsid w:val="213C3673"/>
    <w:rsid w:val="227C728E"/>
    <w:rsid w:val="22D0204D"/>
    <w:rsid w:val="26662AF6"/>
    <w:rsid w:val="27541626"/>
    <w:rsid w:val="27AA290F"/>
    <w:rsid w:val="285D694C"/>
    <w:rsid w:val="289F3CC5"/>
    <w:rsid w:val="29EE1DC8"/>
    <w:rsid w:val="2A120E87"/>
    <w:rsid w:val="2A671BFC"/>
    <w:rsid w:val="2B767ADE"/>
    <w:rsid w:val="2C2847BC"/>
    <w:rsid w:val="2CB030A6"/>
    <w:rsid w:val="2D2066CA"/>
    <w:rsid w:val="2D2D1B1A"/>
    <w:rsid w:val="2ECA7A06"/>
    <w:rsid w:val="2F9608AC"/>
    <w:rsid w:val="2FA5177C"/>
    <w:rsid w:val="32FB67E2"/>
    <w:rsid w:val="33BD13FC"/>
    <w:rsid w:val="357B6174"/>
    <w:rsid w:val="35C848D9"/>
    <w:rsid w:val="35E5673B"/>
    <w:rsid w:val="3B103714"/>
    <w:rsid w:val="3B6738AB"/>
    <w:rsid w:val="3BBC67DD"/>
    <w:rsid w:val="3D6A27F8"/>
    <w:rsid w:val="41FD4D22"/>
    <w:rsid w:val="42F12295"/>
    <w:rsid w:val="436471CA"/>
    <w:rsid w:val="4375522F"/>
    <w:rsid w:val="448C2644"/>
    <w:rsid w:val="45962498"/>
    <w:rsid w:val="48EC3BAB"/>
    <w:rsid w:val="4A8E2DC3"/>
    <w:rsid w:val="4AA91B69"/>
    <w:rsid w:val="4C1255C9"/>
    <w:rsid w:val="4E415A9C"/>
    <w:rsid w:val="4F8670E4"/>
    <w:rsid w:val="4F8B5DEC"/>
    <w:rsid w:val="50813A30"/>
    <w:rsid w:val="5187378F"/>
    <w:rsid w:val="53B4784F"/>
    <w:rsid w:val="53EC6DBC"/>
    <w:rsid w:val="560F53D0"/>
    <w:rsid w:val="57333578"/>
    <w:rsid w:val="5A7D1B2E"/>
    <w:rsid w:val="5B7B2FC6"/>
    <w:rsid w:val="5C930F5A"/>
    <w:rsid w:val="5CB449CC"/>
    <w:rsid w:val="5DE04BC6"/>
    <w:rsid w:val="60D7318C"/>
    <w:rsid w:val="62C7199E"/>
    <w:rsid w:val="63C12C87"/>
    <w:rsid w:val="63CD05A1"/>
    <w:rsid w:val="645B7D8F"/>
    <w:rsid w:val="66E54E12"/>
    <w:rsid w:val="674965BA"/>
    <w:rsid w:val="68FE261A"/>
    <w:rsid w:val="6AF3263F"/>
    <w:rsid w:val="6B2C1D0E"/>
    <w:rsid w:val="6B7C4F72"/>
    <w:rsid w:val="6BBC636F"/>
    <w:rsid w:val="6EBE3990"/>
    <w:rsid w:val="6ED07992"/>
    <w:rsid w:val="6FB9155C"/>
    <w:rsid w:val="70B45E0F"/>
    <w:rsid w:val="714C77AC"/>
    <w:rsid w:val="71B468BF"/>
    <w:rsid w:val="71D57417"/>
    <w:rsid w:val="75917059"/>
    <w:rsid w:val="769638D6"/>
    <w:rsid w:val="76DA15F9"/>
    <w:rsid w:val="778757EF"/>
    <w:rsid w:val="77955354"/>
    <w:rsid w:val="78395585"/>
    <w:rsid w:val="795E558F"/>
    <w:rsid w:val="79773ECD"/>
    <w:rsid w:val="7ABC2293"/>
    <w:rsid w:val="7B7109BC"/>
    <w:rsid w:val="7B945C08"/>
    <w:rsid w:val="7CB43C75"/>
    <w:rsid w:val="7D655D73"/>
    <w:rsid w:val="7FA3711A"/>
    <w:rsid w:val="7FB72E7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name="header"/>
    <w:lsdException w:qFormat="1"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qFormat="1" w:unhideWhenUsed="0" w:uiPriority="0"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6">
    <w:name w:val="Default Paragraph Font"/>
    <w:autoRedefine/>
    <w:semiHidden/>
    <w:unhideWhenUsed/>
    <w:qFormat/>
    <w:uiPriority w:val="1"/>
  </w:style>
  <w:style w:type="table" w:default="1" w:styleId="4">
    <w:name w:val="Normal Table"/>
    <w:autoRedefine/>
    <w:semiHidden/>
    <w:unhideWhenUsed/>
    <w:qFormat/>
    <w:uiPriority w:val="99"/>
    <w:pPr>
      <w:keepNext w:val="0"/>
      <w:keepLines w:val="0"/>
      <w:widowControl/>
      <w:suppressLineNumbers w:val="0"/>
      <w:spacing w:before="0" w:beforeAutospacing="0" w:after="0" w:afterAutospacing="0"/>
      <w:ind w:left="0" w:right="0"/>
    </w:pPr>
    <w:rPr>
      <w:rFonts w:hint="default" w:ascii="Times New Roman" w:hAnsi="Times New Roman" w:cs="Times New Roman"/>
      <w:sz w:val="20"/>
      <w:szCs w:val="20"/>
    </w:rPr>
    <w:tblPr>
      <w:tblCellMar>
        <w:top w:w="0" w:type="dxa"/>
        <w:left w:w="108" w:type="dxa"/>
        <w:bottom w:w="0" w:type="dxa"/>
        <w:right w:w="108" w:type="dxa"/>
      </w:tblCellMar>
    </w:tblPr>
  </w:style>
  <w:style w:type="paragraph" w:styleId="2">
    <w:name w:val="footer"/>
    <w:basedOn w:val="1"/>
    <w:link w:val="8"/>
    <w:autoRedefine/>
    <w:semiHidden/>
    <w:unhideWhenUsed/>
    <w:qFormat/>
    <w:uiPriority w:val="99"/>
    <w:pPr>
      <w:tabs>
        <w:tab w:val="center" w:pos="4153"/>
        <w:tab w:val="right" w:pos="8306"/>
      </w:tabs>
      <w:snapToGrid w:val="0"/>
      <w:jc w:val="left"/>
    </w:pPr>
    <w:rPr>
      <w:sz w:val="18"/>
      <w:szCs w:val="18"/>
    </w:rPr>
  </w:style>
  <w:style w:type="paragraph" w:styleId="3">
    <w:name w:val="header"/>
    <w:basedOn w:val="1"/>
    <w:link w:val="7"/>
    <w:autoRedefine/>
    <w:semiHidden/>
    <w:unhideWhenUsed/>
    <w:qFormat/>
    <w:uiPriority w:val="99"/>
    <w:pPr>
      <w:pBdr>
        <w:bottom w:val="single" w:color="auto" w:sz="6" w:space="1"/>
      </w:pBdr>
      <w:tabs>
        <w:tab w:val="center" w:pos="4153"/>
        <w:tab w:val="right" w:pos="8306"/>
      </w:tabs>
      <w:snapToGrid w:val="0"/>
      <w:jc w:val="center"/>
    </w:pPr>
    <w:rPr>
      <w:sz w:val="18"/>
      <w:szCs w:val="18"/>
    </w:rPr>
  </w:style>
  <w:style w:type="table" w:styleId="5">
    <w:name w:val="Table Grid"/>
    <w:basedOn w:val="4"/>
    <w:autoRedefine/>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customStyle="1" w:styleId="7">
    <w:name w:val="页眉 Char"/>
    <w:basedOn w:val="6"/>
    <w:link w:val="3"/>
    <w:autoRedefine/>
    <w:semiHidden/>
    <w:qFormat/>
    <w:uiPriority w:val="99"/>
    <w:rPr>
      <w:rFonts w:ascii="Times New Roman" w:hAnsi="Times New Roman" w:eastAsia="宋体" w:cs="Times New Roman"/>
      <w:sz w:val="18"/>
      <w:szCs w:val="18"/>
    </w:rPr>
  </w:style>
  <w:style w:type="character" w:customStyle="1" w:styleId="8">
    <w:name w:val="页脚 Char"/>
    <w:basedOn w:val="6"/>
    <w:link w:val="2"/>
    <w:autoRedefine/>
    <w:semiHidden/>
    <w:qFormat/>
    <w:uiPriority w:val="99"/>
    <w:rPr>
      <w:rFonts w:ascii="Times New Roman" w:hAnsi="Times New Roman" w:eastAsia="宋体" w:cs="Times New Roman"/>
      <w:sz w:val="18"/>
      <w:szCs w:val="18"/>
    </w:rPr>
  </w:style>
  <w:style w:type="paragraph" w:styleId="9">
    <w:name w:val="List Paragraph"/>
    <w:basedOn w:val="1"/>
    <w:autoRedefine/>
    <w:qFormat/>
    <w:uiPriority w:val="34"/>
    <w:pPr>
      <w:ind w:firstLine="420" w:firstLineChars="200"/>
    </w:p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Pages>1</Pages>
  <Words>752</Words>
  <Characters>759</Characters>
  <Lines>8</Lines>
  <Paragraphs>2</Paragraphs>
  <TotalTime>0</TotalTime>
  <ScaleCrop>false</ScaleCrop>
  <LinksUpToDate>false</LinksUpToDate>
  <CharactersWithSpaces>855</CharactersWithSpaces>
  <Application>WPS Office_12.1.0.18608_F1E327BC-269C-435d-A152-05C5408002CA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2020-04-09T09:14:00Z</dcterms:created>
  <dc:creator>zxy</dc:creator>
  <cp:lastModifiedBy>Jenny</cp:lastModifiedBy>
  <dcterms:modified xsi:type="dcterms:W3CDTF">2024-10-31T06:25:34Z</dcterms:modified>
  <cp:revision>28</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2052-12.1.0.18608</vt:lpwstr>
  </property>
  <property fmtid="{D5CDD505-2E9C-101B-9397-08002B2CF9AE}" pid="3" name="ICV">
    <vt:lpwstr>A894B8480C224F3EBBE53CD83B2EE1D5</vt:lpwstr>
  </property>
</Properties>
</file>