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lang w:val="en-US" w:eastAsia="zh-CN"/>
        </w:rPr>
        <w:t xml:space="preserve"> </w:t>
      </w: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spacing w:line="360" w:lineRule="auto"/>
        <w:rPr>
          <w:rFonts w:asciiTheme="minorEastAsia" w:hAnsiTheme="minorEastAsia" w:eastAsiaTheme="minorEastAsia"/>
          <w:szCs w:val="21"/>
        </w:rPr>
      </w:pPr>
      <w:r>
        <w:rPr>
          <w:rFonts w:hint="eastAsia" w:asciiTheme="minorEastAsia" w:hAnsiTheme="minorEastAsia" w:eastAsiaTheme="minorEastAsia"/>
          <w:szCs w:val="21"/>
          <w:lang w:val="en-US" w:eastAsia="zh-CN"/>
        </w:rPr>
        <w:t>杭州企业产权交易中心有限公司</w:t>
      </w:r>
      <w:r>
        <w:rPr>
          <w:rFonts w:hint="eastAsia" w:asciiTheme="minorEastAsia" w:hAnsiTheme="minorEastAsia" w:eastAsiaTheme="minorEastAsia"/>
          <w:szCs w:val="21"/>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我方拟</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u w:val="single"/>
          <w:lang w:eastAsia="zh-CN"/>
        </w:rPr>
        <w:t>杭州市上城区白马庄街24号房屋5年租赁权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1、我</w:t>
      </w:r>
      <w:r>
        <w:rPr>
          <w:rFonts w:asciiTheme="minorEastAsia" w:hAnsiTheme="minorEastAsia" w:eastAsiaTheme="minorEastAsia"/>
          <w:szCs w:val="21"/>
        </w:rPr>
        <w:t>方已</w:t>
      </w:r>
      <w:r>
        <w:rPr>
          <w:rFonts w:hint="eastAsia" w:asciiTheme="minorEastAsia" w:hAnsiTheme="minorEastAsia" w:eastAsiaTheme="minorEastAsia"/>
          <w:szCs w:val="21"/>
        </w:rPr>
        <w:t>认真阅读、知悉并</w:t>
      </w:r>
      <w:r>
        <w:rPr>
          <w:rFonts w:asciiTheme="minorEastAsia" w:hAnsiTheme="minorEastAsia" w:eastAsiaTheme="minorEastAsia"/>
          <w:szCs w:val="21"/>
        </w:rPr>
        <w:t>自愿遵守</w:t>
      </w:r>
      <w:r>
        <w:rPr>
          <w:rFonts w:hint="eastAsia" w:asciiTheme="minorEastAsia" w:hAnsiTheme="minorEastAsia" w:eastAsiaTheme="minorEastAsia" w:cstheme="minorEastAsia"/>
          <w:sz w:val="21"/>
          <w:szCs w:val="21"/>
          <w:highlight w:val="none"/>
          <w:u w:val="single"/>
          <w:lang w:val="en-US" w:eastAsia="zh-CN"/>
        </w:rPr>
        <w:t>《房屋出租交易规则》</w:t>
      </w:r>
      <w:r>
        <w:rPr>
          <w:rFonts w:hint="eastAsia" w:asciiTheme="minorEastAsia" w:hAnsiTheme="minorEastAsia" w:eastAsiaTheme="minorEastAsia" w:cstheme="minorEastAsia"/>
          <w:sz w:val="21"/>
          <w:szCs w:val="21"/>
          <w:highlight w:val="none"/>
          <w:u w:val="none"/>
        </w:rPr>
        <w:t>、</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single"/>
          <w:lang w:val="en-US" w:eastAsia="zh-CN"/>
        </w:rPr>
        <w:t>在线报价实施办法</w:t>
      </w:r>
      <w:r>
        <w:rPr>
          <w:rFonts w:hint="eastAsia" w:asciiTheme="minorEastAsia" w:hAnsiTheme="minorEastAsia" w:eastAsiaTheme="minorEastAsia" w:cstheme="minorEastAsia"/>
          <w:sz w:val="21"/>
          <w:szCs w:val="21"/>
          <w:highlight w:val="none"/>
          <w:u w:val="single"/>
        </w:rPr>
        <w:t>》</w:t>
      </w:r>
      <w:r>
        <w:rPr>
          <w:rFonts w:hint="eastAsia" w:asciiTheme="minorEastAsia" w:hAnsiTheme="minorEastAsia" w:eastAsiaTheme="minorEastAsia" w:cstheme="minorEastAsia"/>
          <w:sz w:val="21"/>
          <w:szCs w:val="21"/>
          <w:highlight w:val="none"/>
          <w:u w:val="none"/>
        </w:rPr>
        <w:t>和</w:t>
      </w:r>
      <w:r>
        <w:rPr>
          <w:rFonts w:hint="eastAsia" w:asciiTheme="minorEastAsia" w:hAnsiTheme="minorEastAsia" w:eastAsiaTheme="minorEastAsia" w:cstheme="minorEastAsia"/>
          <w:sz w:val="21"/>
          <w:szCs w:val="21"/>
          <w:highlight w:val="none"/>
          <w:u w:val="single"/>
          <w:lang w:eastAsia="zh-CN"/>
        </w:rPr>
        <w:t>《</w:t>
      </w:r>
      <w:r>
        <w:rPr>
          <w:rFonts w:hint="eastAsia" w:asciiTheme="minorEastAsia" w:hAnsiTheme="minorEastAsia" w:eastAsiaTheme="minorEastAsia" w:cstheme="minorEastAsia"/>
          <w:sz w:val="21"/>
          <w:szCs w:val="21"/>
          <w:highlight w:val="none"/>
          <w:u w:val="single"/>
          <w:lang w:val="en-US" w:eastAsia="zh-CN"/>
        </w:rPr>
        <w:t>在线报价交易须知</w:t>
      </w:r>
      <w:r>
        <w:rPr>
          <w:rFonts w:hint="eastAsia" w:asciiTheme="minorEastAsia" w:hAnsiTheme="minorEastAsia" w:eastAsiaTheme="minorEastAsia" w:cstheme="minorEastAsia"/>
          <w:sz w:val="21"/>
          <w:szCs w:val="21"/>
          <w:highlight w:val="none"/>
          <w:u w:val="single"/>
          <w:lang w:eastAsia="zh-CN"/>
        </w:rPr>
        <w:t>》</w:t>
      </w:r>
      <w:r>
        <w:rPr>
          <w:rFonts w:asciiTheme="minorEastAsia" w:hAnsiTheme="minorEastAsia" w:eastAsiaTheme="minorEastAsia"/>
          <w:szCs w:val="21"/>
        </w:rPr>
        <w:t>等文件的规定，同意按照相关规定参加</w:t>
      </w:r>
      <w:r>
        <w:rPr>
          <w:rFonts w:hint="eastAsia" w:asciiTheme="minorEastAsia" w:hAnsiTheme="minorEastAsia" w:eastAsiaTheme="minorEastAsia"/>
          <w:szCs w:val="21"/>
        </w:rPr>
        <w:t>本项目竞价</w:t>
      </w:r>
      <w:r>
        <w:rPr>
          <w:rFonts w:asciiTheme="minorEastAsia" w:hAnsiTheme="minorEastAsia" w:eastAsiaTheme="minorEastAsia"/>
          <w:szCs w:val="21"/>
        </w:rPr>
        <w:t>活动。</w:t>
      </w:r>
    </w:p>
    <w:p>
      <w:pPr>
        <w:widowControl/>
        <w:tabs>
          <w:tab w:val="left" w:pos="6975"/>
        </w:tabs>
        <w:spacing w:line="240" w:lineRule="auto"/>
        <w:ind w:firstLine="420" w:firstLineChars="200"/>
        <w:jc w:val="left"/>
        <w:rPr>
          <w:rFonts w:asciiTheme="minorEastAsia" w:hAnsiTheme="minorEastAsia"/>
          <w:szCs w:val="21"/>
        </w:rPr>
      </w:pPr>
      <w:r>
        <w:rPr>
          <w:rFonts w:hint="eastAsia" w:asciiTheme="minorEastAsia" w:hAnsiTheme="minorEastAsia" w:eastAsiaTheme="minorEastAsia"/>
          <w:szCs w:val="21"/>
        </w:rPr>
        <w:t>2、</w:t>
      </w:r>
      <w:r>
        <w:rPr>
          <w:rFonts w:hint="eastAsia" w:asciiTheme="minorEastAsia" w:hAnsiTheme="minorEastAsia" w:eastAsiaTheme="minorEastAsia"/>
          <w:sz w:val="21"/>
          <w:szCs w:val="21"/>
          <w:highlight w:val="none"/>
        </w:rPr>
        <w:t>我方</w:t>
      </w:r>
      <w:r>
        <w:rPr>
          <w:rFonts w:hint="eastAsia" w:asciiTheme="minorEastAsia" w:hAnsiTheme="minorEastAsia"/>
          <w:sz w:val="21"/>
          <w:szCs w:val="21"/>
          <w:highlight w:val="none"/>
        </w:rPr>
        <w:t>提交</w:t>
      </w:r>
      <w:r>
        <w:rPr>
          <w:rFonts w:hint="eastAsia" w:asciiTheme="minorEastAsia" w:hAnsiTheme="minorEastAsia"/>
          <w:sz w:val="21"/>
          <w:szCs w:val="21"/>
          <w:highlight w:val="none"/>
          <w:u w:val="single"/>
        </w:rPr>
        <w:t>承租</w:t>
      </w:r>
      <w:r>
        <w:rPr>
          <w:rFonts w:asciiTheme="minorEastAsia" w:hAnsiTheme="minorEastAsia"/>
          <w:sz w:val="21"/>
          <w:szCs w:val="21"/>
          <w:highlight w:val="none"/>
        </w:rPr>
        <w:t>申请</w:t>
      </w:r>
      <w:r>
        <w:rPr>
          <w:rFonts w:hint="eastAsia" w:asciiTheme="minorEastAsia" w:hAnsiTheme="minorEastAsia"/>
          <w:sz w:val="21"/>
          <w:szCs w:val="21"/>
          <w:highlight w:val="none"/>
          <w:lang w:val="en-US" w:eastAsia="zh-CN"/>
        </w:rPr>
        <w:t>材料</w:t>
      </w:r>
      <w:r>
        <w:rPr>
          <w:rFonts w:asciiTheme="minorEastAsia" w:hAnsiTheme="minorEastAsia"/>
          <w:sz w:val="21"/>
          <w:szCs w:val="21"/>
          <w:highlight w:val="none"/>
        </w:rPr>
        <w:t>并且</w:t>
      </w:r>
      <w:r>
        <w:rPr>
          <w:rFonts w:hint="eastAsia" w:asciiTheme="minorEastAsia" w:hAnsiTheme="minorEastAsia"/>
          <w:sz w:val="21"/>
          <w:szCs w:val="21"/>
          <w:highlight w:val="none"/>
        </w:rPr>
        <w:t>交纳交易</w:t>
      </w:r>
      <w:r>
        <w:rPr>
          <w:rFonts w:asciiTheme="minorEastAsia" w:hAnsiTheme="minorEastAsia"/>
          <w:sz w:val="21"/>
          <w:szCs w:val="21"/>
          <w:highlight w:val="none"/>
        </w:rPr>
        <w:t>保证金后，即视为已详细阅读并完全认可本项</w:t>
      </w:r>
      <w:r>
        <w:rPr>
          <w:rFonts w:hint="eastAsia" w:asciiTheme="minorEastAsia" w:hAnsiTheme="minorEastAsia" w:eastAsiaTheme="minorEastAsia" w:cstheme="minorEastAsia"/>
          <w:sz w:val="21"/>
          <w:szCs w:val="21"/>
          <w:highlight w:val="none"/>
        </w:rPr>
        <w:t>目所披露内容以及已完成对标的的现场踏勘，表明已完全了解并自愿接受标的的全部现状及瑕疵，并自愿承担一切交易风险。</w:t>
      </w:r>
    </w:p>
    <w:p>
      <w:pPr>
        <w:numPr>
          <w:ilvl w:val="0"/>
          <w:numId w:val="0"/>
        </w:num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3、同意在被确定为承租方之日起3个工作日内，携带承租申请材料原件到杭交所完成现场确认并签署《成交通知书》、《房屋租赁合同》；并在《成交通知书》、《房屋租赁合同》签署之日起15日内向杭交所指定账户一次性支付交易服务费、履约保证金、装修保证金及首期租金等交易资金（以到账时间为准）</w:t>
      </w:r>
      <w:r>
        <w:rPr>
          <w:rFonts w:hint="eastAsia" w:asciiTheme="minorEastAsia" w:hAnsiTheme="minorEastAsia" w:eastAsiaTheme="minorEastAsia"/>
          <w:szCs w:val="21"/>
          <w:lang w:eastAsia="zh-CN"/>
        </w:rPr>
        <w:t>。</w:t>
      </w:r>
    </w:p>
    <w:p>
      <w:pPr>
        <w:numPr>
          <w:ilvl w:val="0"/>
          <w:numId w:val="0"/>
        </w:numPr>
        <w:spacing w:line="240" w:lineRule="auto"/>
        <w:ind w:firstLine="420" w:firstLineChars="200"/>
        <w:rPr>
          <w:rFonts w:hint="eastAsia" w:asciiTheme="minorEastAsia" w:hAnsiTheme="minorEastAsia" w:eastAsiaTheme="minorEastAsia"/>
          <w:b w:val="0"/>
          <w:bCs w:val="0"/>
          <w:szCs w:val="21"/>
        </w:rPr>
      </w:pPr>
      <w:r>
        <w:rPr>
          <w:rFonts w:hint="eastAsia" w:asciiTheme="minorEastAsia" w:hAnsiTheme="minorEastAsia" w:eastAsiaTheme="minorEastAsia"/>
          <w:b w:val="0"/>
          <w:bCs w:val="0"/>
          <w:szCs w:val="21"/>
        </w:rPr>
        <w:t>4、同意杭交所在经出租方申请之日起3个工作日内将承租方已交纳的履约保证金、装修保证金、首期租金全部划转至出租方指定账户。</w:t>
      </w:r>
    </w:p>
    <w:p>
      <w:pPr>
        <w:numPr>
          <w:ilvl w:val="0"/>
          <w:numId w:val="0"/>
        </w:num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5、我方知悉并承诺：</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承租方在租赁房屋后，因证载用途与租赁用途不一致而需要办理相关审批手续的，由承租方自行负责办理，出租方予以协助，如因此需缴纳相关费用的，由承租方负责，出租方不承担任何责任。承租方应充分了解上述情况，由此无法办理工商登记及其他行政审批等相关手续，承租方如有损失自行承担。若承租方需临时改变房屋（土地）使用性质，相关审批及手续由承租方自行办理，由此产生的包括土地收益金等在内的一切费用由承租方承担。对于相关部门是否批准，出租方不作任何保证、不承担任何责任，承租方承诺不因此提出索赔。</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承租方已明确知悉并接受租赁房屋的规划用途、产权情况、性质等限制条件，承租方承诺不因此提出索赔。承租方对其租赁用途所需的相关审批、备案、办证等手续以及法律、法规、规章、政策要求均已清楚了解，对相应风险已知悉并自愿承担。</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承租方在该租赁房屋内开展及经营其业务前，应向政府主管部门取得所有必要的执照、批准或许可证等，自行办理相关许可证及相关登记文件，承担由此产生的费用。承租方应确保该执照、批准或许可证在租赁期限内完全有效，及在各方面均符合该执照、批准或许可证的规定。并且，承租方在该租赁房屋的经营活动不得违反有关的法律、法规，必须确保其经营的合法性，否则，承租方将承担因其不正当经营所造成的一切责任和后果。</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未经出租方书面许可，承租方不得将该房屋转租、分租、群租；不得利用该物业进行非法活动；不得将易燃、易爆等危险品带入该物业或做其他严重有害该物业安全的行业，否则出租方有权立即解除《房屋租赁合同》，并且承租方应当向出租方支付当年租金总额30%的违约金。若给出租方造成损失的，由承租方负责赔偿并承担由此而产生的全部责任。</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装修约定：承租方承租后需进行装修的，应向出租方提交装修申请并缴纳相应金额的装修保证金(商铺100㎡以下5000元/套，100㎡以上10000元/套)，装修完成后，经出租方或相关部门验收无异议后，无息退还装修保证金；无需进行装修的，应签署不装修承诺书。</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6</w:t>
      </w:r>
      <w:r>
        <w:rPr>
          <w:rFonts w:hint="eastAsia" w:asciiTheme="minorEastAsia" w:hAnsiTheme="minorEastAsia" w:eastAsiaTheme="minorEastAsia"/>
          <w:szCs w:val="21"/>
        </w:rPr>
        <w:t>）餐饮业用气约定：承租方承租后经营餐饮等业态的，不得使用瓶装燃气、环保油或其他易燃易爆燃料，需加装天然气的，室内加装装置、设备的费用由承租方自行承担；需使用电力设备的，应在满足电力容量负荷情况下使用；需要扩容或加装电力设备的，应自行向电力部门申请，扩容或加装设备的费用由承租方自行承担。非餐饮类商铺不得使用明火，更不得使用瓶装燃气、环保油或其他易燃易爆燃料。</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成交后，承租方须与杭州市城市建设发展集团有限公司签订《房屋租赁合同》。租金由杭州市城市建设发展集团有限公司收取并向承租方出具租赁发票；履约保证金由出租方收取并向承租方出具收据。（产权方为杭州市城市建设发展集团有限公司适用）</w:t>
      </w:r>
    </w:p>
    <w:p>
      <w:pPr>
        <w:spacing w:line="240" w:lineRule="auto"/>
        <w:ind w:firstLine="420" w:firstLineChars="200"/>
        <w:rPr>
          <w:rFonts w:hint="eastAsia"/>
          <w:highlight w:val="none"/>
          <w:lang w:val="en-US" w:eastAsia="zh-CN"/>
        </w:rPr>
      </w:pP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8</w:t>
      </w:r>
      <w:r>
        <w:rPr>
          <w:rFonts w:hint="eastAsia" w:asciiTheme="minorEastAsia" w:hAnsiTheme="minorEastAsia" w:eastAsiaTheme="minorEastAsia"/>
          <w:szCs w:val="21"/>
        </w:rPr>
        <w:t>）</w:t>
      </w:r>
      <w:r>
        <w:rPr>
          <w:rFonts w:hint="eastAsia"/>
          <w:highlight w:val="none"/>
          <w:lang w:val="en-US" w:eastAsia="zh-CN"/>
        </w:rPr>
        <w:t>白马庄街20、22、24、26</w:t>
      </w:r>
      <w:bookmarkStart w:id="0" w:name="_GoBack"/>
      <w:bookmarkEnd w:id="0"/>
      <w:r>
        <w:rPr>
          <w:rFonts w:hint="eastAsia"/>
          <w:highlight w:val="none"/>
          <w:lang w:val="en-US" w:eastAsia="zh-CN"/>
        </w:rPr>
        <w:t>号目前已打通，出租方按现状进行交付，由承租方按照出租方</w:t>
      </w:r>
      <w:r>
        <w:rPr>
          <w:rFonts w:hint="eastAsia" w:eastAsia="宋体"/>
          <w:highlight w:val="none"/>
          <w:lang w:val="en-US" w:eastAsia="zh-CN"/>
        </w:rPr>
        <w:t>提供的原始结构图</w:t>
      </w:r>
      <w:r>
        <w:rPr>
          <w:rFonts w:hint="eastAsia"/>
          <w:highlight w:val="none"/>
          <w:lang w:val="en-US" w:eastAsia="zh-CN"/>
        </w:rPr>
        <w:t>自行</w:t>
      </w:r>
      <w:r>
        <w:rPr>
          <w:rFonts w:hint="eastAsia" w:eastAsia="宋体"/>
          <w:highlight w:val="none"/>
          <w:lang w:val="en-US" w:eastAsia="zh-CN"/>
        </w:rPr>
        <w:t>分隔</w:t>
      </w:r>
      <w:r>
        <w:rPr>
          <w:rFonts w:hint="eastAsia"/>
          <w:highlight w:val="none"/>
          <w:lang w:val="en-US" w:eastAsia="zh-CN"/>
        </w:rPr>
        <w:t>，并承担由此产生的费用。</w:t>
      </w:r>
    </w:p>
    <w:p>
      <w:pPr>
        <w:spacing w:line="240" w:lineRule="auto"/>
        <w:ind w:firstLine="420" w:firstLineChars="200"/>
        <w:rPr>
          <w:rFonts w:hint="eastAsia" w:asciiTheme="minorEastAsia" w:hAnsiTheme="minorEastAsia" w:eastAsiaTheme="minorEastAsia"/>
          <w:szCs w:val="21"/>
        </w:rPr>
      </w:pPr>
      <w:r>
        <w:rPr>
          <w:rFonts w:hint="eastAsia"/>
          <w:highlight w:val="none"/>
          <w:lang w:val="en-US" w:eastAsia="zh-CN"/>
        </w:rPr>
        <w:t>（9）</w:t>
      </w:r>
      <w:r>
        <w:rPr>
          <w:rFonts w:hint="eastAsia" w:asciiTheme="minorEastAsia" w:hAnsiTheme="minorEastAsia" w:eastAsiaTheme="minorEastAsia"/>
          <w:szCs w:val="21"/>
        </w:rPr>
        <w:t>出租方与承租方的权利和义务以出租方提供的《房屋租赁合同》为准。</w:t>
      </w:r>
    </w:p>
    <w:p>
      <w:pPr>
        <w:spacing w:line="240" w:lineRule="auto"/>
        <w:ind w:firstLine="420" w:firstLineChars="200"/>
        <w:rPr>
          <w:rFonts w:hint="eastAsia" w:asciiTheme="minorEastAsia" w:hAnsiTheme="minorEastAsia" w:eastAsiaTheme="minorEastAsia"/>
          <w:szCs w:val="21"/>
          <w:lang w:eastAsia="zh-CN"/>
        </w:rPr>
      </w:pPr>
      <w:r>
        <w:rPr>
          <w:rFonts w:hint="eastAsia" w:asciiTheme="minorEastAsia" w:hAnsiTheme="minorEastAsia" w:eastAsiaTheme="minorEastAsia"/>
          <w:szCs w:val="21"/>
        </w:rPr>
        <w:t>6、同意</w:t>
      </w:r>
      <w:r>
        <w:rPr>
          <w:rFonts w:hint="eastAsia" w:ascii="宋体" w:hAnsi="宋体" w:eastAsia="宋体" w:cs="Times New Roman"/>
          <w:szCs w:val="21"/>
          <w:highlight w:val="none"/>
        </w:rPr>
        <w:t>按照</w:t>
      </w:r>
      <w:r>
        <w:rPr>
          <w:rFonts w:hint="eastAsia" w:asciiTheme="minorEastAsia" w:hAnsiTheme="minorEastAsia" w:eastAsiaTheme="minorEastAsia"/>
          <w:szCs w:val="21"/>
        </w:rPr>
        <w:t>按第一计租年度一个月租金计交纳交易服务费</w:t>
      </w:r>
      <w:r>
        <w:rPr>
          <w:rFonts w:hint="eastAsia" w:asciiTheme="minorEastAsia" w:hAnsiTheme="minorEastAsia" w:eastAsiaTheme="minorEastAsia"/>
          <w:szCs w:val="21"/>
          <w:lang w:eastAsia="zh-CN"/>
        </w:rPr>
        <w:t>。</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asciiTheme="minorEastAsia" w:hAnsiTheme="minorEastAsia" w:eastAsiaTheme="minorEastAsia"/>
          <w:szCs w:val="21"/>
        </w:rPr>
        <w:t>、</w:t>
      </w:r>
      <w:r>
        <w:rPr>
          <w:rFonts w:hint="eastAsia" w:asciiTheme="minorEastAsia" w:hAnsiTheme="minorEastAsia" w:eastAsiaTheme="minorEastAsia"/>
          <w:szCs w:val="21"/>
        </w:rPr>
        <w:t>若非出租方原因，出现以下任一情况时，意向承租方交纳的保证金不予退还，先用于补偿杭交所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的各项服务费，剩余部分作为对出租方的经济补偿金，保证金不足以补偿的，相关方有权按照实际损失继续追诉：</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240"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w:t>
      </w:r>
      <w:r>
        <w:rPr>
          <w:rFonts w:hint="eastAsia" w:asciiTheme="minorEastAsia" w:hAnsiTheme="minorEastAsia" w:eastAsiaTheme="minorEastAsia"/>
          <w:szCs w:val="21"/>
          <w:lang w:val="en-US" w:eastAsia="zh-CN"/>
        </w:rPr>
        <w:t>房屋</w:t>
      </w:r>
      <w:r>
        <w:rPr>
          <w:rFonts w:hint="eastAsia" w:asciiTheme="minorEastAsia" w:hAnsiTheme="minorEastAsia" w:eastAsiaTheme="minorEastAsia"/>
          <w:szCs w:val="21"/>
        </w:rPr>
        <w:t>租赁合同》的或未按约定支付首期租金、履约保证金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和交易服务费的；</w:t>
      </w:r>
    </w:p>
    <w:p>
      <w:pPr>
        <w:spacing w:line="24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w:t>
      </w:r>
      <w:r>
        <w:rPr>
          <w:rFonts w:hint="eastAsia" w:asciiTheme="minorEastAsia" w:hAnsiTheme="minorEastAsia" w:eastAsiaTheme="minorEastAsia"/>
          <w:szCs w:val="21"/>
          <w:lang w:eastAsia="zh-CN"/>
        </w:rPr>
        <w:t>承租</w:t>
      </w:r>
      <w:r>
        <w:rPr>
          <w:rFonts w:asciiTheme="minorEastAsia" w:hAnsiTheme="minorEastAsia" w:eastAsiaTheme="minorEastAsia"/>
          <w:szCs w:val="21"/>
        </w:rPr>
        <w:t>方未履行书面承诺事项的；</w:t>
      </w:r>
    </w:p>
    <w:p>
      <w:pPr>
        <w:spacing w:line="24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spacing w:line="240" w:lineRule="auto"/>
        <w:rPr>
          <w:rFonts w:asciiTheme="minorEastAsia" w:hAnsiTheme="minorEastAsia" w:eastAsiaTheme="minorEastAsia"/>
          <w:szCs w:val="21"/>
        </w:rPr>
      </w:pP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意向</w:t>
      </w:r>
      <w:r>
        <w:rPr>
          <w:rFonts w:hint="eastAsia" w:asciiTheme="minorEastAsia" w:hAnsiTheme="minorEastAsia" w:eastAsiaTheme="minorEastAsia"/>
          <w:szCs w:val="21"/>
          <w:lang w:eastAsia="zh-CN"/>
        </w:rPr>
        <w:t>承租</w:t>
      </w:r>
      <w:r>
        <w:rPr>
          <w:rFonts w:hint="eastAsia" w:asciiTheme="minorEastAsia" w:hAnsiTheme="minorEastAsia" w:eastAsiaTheme="minorEastAsia"/>
          <w:szCs w:val="21"/>
        </w:rPr>
        <w:t>方（签章）：</w:t>
      </w:r>
    </w:p>
    <w:p>
      <w:pPr>
        <w:spacing w:line="240"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143D8A"/>
    <w:rsid w:val="0020310B"/>
    <w:rsid w:val="002278BB"/>
    <w:rsid w:val="002526A0"/>
    <w:rsid w:val="00255411"/>
    <w:rsid w:val="00274544"/>
    <w:rsid w:val="003229C2"/>
    <w:rsid w:val="003A2F6F"/>
    <w:rsid w:val="003E079C"/>
    <w:rsid w:val="00413930"/>
    <w:rsid w:val="00430675"/>
    <w:rsid w:val="004C246D"/>
    <w:rsid w:val="004D1B74"/>
    <w:rsid w:val="004E1479"/>
    <w:rsid w:val="004E3107"/>
    <w:rsid w:val="004F3BEF"/>
    <w:rsid w:val="00503879"/>
    <w:rsid w:val="0055051A"/>
    <w:rsid w:val="00627BE3"/>
    <w:rsid w:val="00662215"/>
    <w:rsid w:val="00737286"/>
    <w:rsid w:val="007847DD"/>
    <w:rsid w:val="00790D21"/>
    <w:rsid w:val="007E4EDD"/>
    <w:rsid w:val="0084282E"/>
    <w:rsid w:val="00884F8A"/>
    <w:rsid w:val="008D72E8"/>
    <w:rsid w:val="00906FAC"/>
    <w:rsid w:val="00934A3A"/>
    <w:rsid w:val="0096235F"/>
    <w:rsid w:val="009733B3"/>
    <w:rsid w:val="009F646A"/>
    <w:rsid w:val="00A11F15"/>
    <w:rsid w:val="00A17388"/>
    <w:rsid w:val="00A24DD0"/>
    <w:rsid w:val="00A53E81"/>
    <w:rsid w:val="00A96775"/>
    <w:rsid w:val="00AA4243"/>
    <w:rsid w:val="00AF7180"/>
    <w:rsid w:val="00B15A11"/>
    <w:rsid w:val="00B170BB"/>
    <w:rsid w:val="00B36433"/>
    <w:rsid w:val="00B91182"/>
    <w:rsid w:val="00B923AA"/>
    <w:rsid w:val="00C02F3D"/>
    <w:rsid w:val="00C07B7D"/>
    <w:rsid w:val="00C2125E"/>
    <w:rsid w:val="00C300A5"/>
    <w:rsid w:val="00C80243"/>
    <w:rsid w:val="00C85BC7"/>
    <w:rsid w:val="00CB5B8C"/>
    <w:rsid w:val="00D56D57"/>
    <w:rsid w:val="00E00E55"/>
    <w:rsid w:val="00E60BD5"/>
    <w:rsid w:val="00ED4E9F"/>
    <w:rsid w:val="00EF62AF"/>
    <w:rsid w:val="00F06BEC"/>
    <w:rsid w:val="00F47654"/>
    <w:rsid w:val="00FA0343"/>
    <w:rsid w:val="00FA6AB7"/>
    <w:rsid w:val="015952F6"/>
    <w:rsid w:val="01796719"/>
    <w:rsid w:val="02474A49"/>
    <w:rsid w:val="0279645F"/>
    <w:rsid w:val="02EB7464"/>
    <w:rsid w:val="03A523CA"/>
    <w:rsid w:val="04273FE8"/>
    <w:rsid w:val="05474BCA"/>
    <w:rsid w:val="06403643"/>
    <w:rsid w:val="06565574"/>
    <w:rsid w:val="06FF3E8A"/>
    <w:rsid w:val="0739342F"/>
    <w:rsid w:val="09377722"/>
    <w:rsid w:val="0A514DBC"/>
    <w:rsid w:val="0B4328AD"/>
    <w:rsid w:val="0BBE3E04"/>
    <w:rsid w:val="0C455BB9"/>
    <w:rsid w:val="0DF647A0"/>
    <w:rsid w:val="10346095"/>
    <w:rsid w:val="11561F17"/>
    <w:rsid w:val="122D5A9B"/>
    <w:rsid w:val="15B80C26"/>
    <w:rsid w:val="166533E4"/>
    <w:rsid w:val="18AB29E5"/>
    <w:rsid w:val="1A3A2E16"/>
    <w:rsid w:val="1A4B5000"/>
    <w:rsid w:val="1A8A4238"/>
    <w:rsid w:val="1AE30C41"/>
    <w:rsid w:val="1D772D50"/>
    <w:rsid w:val="1E570CAC"/>
    <w:rsid w:val="1E867034"/>
    <w:rsid w:val="1E9C785A"/>
    <w:rsid w:val="2164102D"/>
    <w:rsid w:val="21D62F05"/>
    <w:rsid w:val="224C47AB"/>
    <w:rsid w:val="22EF036A"/>
    <w:rsid w:val="25677B0B"/>
    <w:rsid w:val="258432D6"/>
    <w:rsid w:val="25D72BEF"/>
    <w:rsid w:val="261256F5"/>
    <w:rsid w:val="261B6EAF"/>
    <w:rsid w:val="27233601"/>
    <w:rsid w:val="273E55C5"/>
    <w:rsid w:val="280C6FF3"/>
    <w:rsid w:val="29831BA4"/>
    <w:rsid w:val="29A37426"/>
    <w:rsid w:val="29AC0889"/>
    <w:rsid w:val="2A7A57A9"/>
    <w:rsid w:val="2A7E3585"/>
    <w:rsid w:val="2C5B5AFF"/>
    <w:rsid w:val="2C993CF8"/>
    <w:rsid w:val="2D095E73"/>
    <w:rsid w:val="2D462264"/>
    <w:rsid w:val="2EF16AF3"/>
    <w:rsid w:val="31831344"/>
    <w:rsid w:val="31950990"/>
    <w:rsid w:val="31C10B20"/>
    <w:rsid w:val="32824EDB"/>
    <w:rsid w:val="34705D86"/>
    <w:rsid w:val="34B343DA"/>
    <w:rsid w:val="37200BEA"/>
    <w:rsid w:val="379320DC"/>
    <w:rsid w:val="37A200AC"/>
    <w:rsid w:val="380B12B2"/>
    <w:rsid w:val="384E2216"/>
    <w:rsid w:val="38CB4108"/>
    <w:rsid w:val="39E9751C"/>
    <w:rsid w:val="3A4574B2"/>
    <w:rsid w:val="3AC218E1"/>
    <w:rsid w:val="3B2E3F4D"/>
    <w:rsid w:val="3B872449"/>
    <w:rsid w:val="3C2C0B99"/>
    <w:rsid w:val="3CB624B8"/>
    <w:rsid w:val="3D8D11E6"/>
    <w:rsid w:val="3E366EA5"/>
    <w:rsid w:val="3F6A50BE"/>
    <w:rsid w:val="3F7A371C"/>
    <w:rsid w:val="3FFD00BF"/>
    <w:rsid w:val="40FE57EE"/>
    <w:rsid w:val="41266D89"/>
    <w:rsid w:val="414F26D9"/>
    <w:rsid w:val="4305016E"/>
    <w:rsid w:val="450A38F6"/>
    <w:rsid w:val="459A4A97"/>
    <w:rsid w:val="464723B1"/>
    <w:rsid w:val="479E5897"/>
    <w:rsid w:val="4C4308FE"/>
    <w:rsid w:val="4D801570"/>
    <w:rsid w:val="4DD22F16"/>
    <w:rsid w:val="4F092F78"/>
    <w:rsid w:val="4F201E42"/>
    <w:rsid w:val="4FBC2F5F"/>
    <w:rsid w:val="52212BBB"/>
    <w:rsid w:val="54130175"/>
    <w:rsid w:val="54AC0761"/>
    <w:rsid w:val="5502046E"/>
    <w:rsid w:val="56E57E9E"/>
    <w:rsid w:val="571B5F1F"/>
    <w:rsid w:val="57576ED8"/>
    <w:rsid w:val="57E43E5E"/>
    <w:rsid w:val="580A29D8"/>
    <w:rsid w:val="58E27BEC"/>
    <w:rsid w:val="59BB5339"/>
    <w:rsid w:val="59C553D4"/>
    <w:rsid w:val="59D25817"/>
    <w:rsid w:val="5A721786"/>
    <w:rsid w:val="5C6F1AF2"/>
    <w:rsid w:val="5D0B1ACB"/>
    <w:rsid w:val="5D4638C2"/>
    <w:rsid w:val="5F263445"/>
    <w:rsid w:val="60D41C1D"/>
    <w:rsid w:val="61AF798C"/>
    <w:rsid w:val="62D637DB"/>
    <w:rsid w:val="63DB45BE"/>
    <w:rsid w:val="63F50A4F"/>
    <w:rsid w:val="65BC6383"/>
    <w:rsid w:val="685936B8"/>
    <w:rsid w:val="69057392"/>
    <w:rsid w:val="6B3B2C71"/>
    <w:rsid w:val="6BEE766C"/>
    <w:rsid w:val="6C7E0522"/>
    <w:rsid w:val="6D490EB5"/>
    <w:rsid w:val="6DC2291F"/>
    <w:rsid w:val="6DE029CA"/>
    <w:rsid w:val="70681F34"/>
    <w:rsid w:val="71204A9C"/>
    <w:rsid w:val="744676DC"/>
    <w:rsid w:val="752E7623"/>
    <w:rsid w:val="76E45562"/>
    <w:rsid w:val="77D53699"/>
    <w:rsid w:val="79944E61"/>
    <w:rsid w:val="7A54014C"/>
    <w:rsid w:val="7ADA7D76"/>
    <w:rsid w:val="7AE52BBB"/>
    <w:rsid w:val="7AFB73C0"/>
    <w:rsid w:val="7D1767FA"/>
    <w:rsid w:val="7FA06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pPr>
      <w:spacing w:before="120" w:after="120" w:line="360" w:lineRule="auto"/>
      <w:ind w:firstLine="800" w:firstLineChars="200"/>
    </w:pPr>
    <w:rPr>
      <w:rFonts w:ascii="宋体" w:hAnsi="宋体"/>
      <w:lang w:val="zh-CN"/>
    </w:rPr>
  </w:style>
  <w:style w:type="paragraph" w:styleId="3">
    <w:name w:val="Body Text First Indent"/>
    <w:basedOn w:val="2"/>
    <w:next w:val="1"/>
    <w:qFormat/>
    <w:uiPriority w:val="99"/>
    <w:pPr>
      <w:ind w:firstLine="420" w:firstLineChars="100"/>
    </w:pPr>
  </w:style>
  <w:style w:type="paragraph" w:styleId="4">
    <w:name w:val="footer"/>
    <w:basedOn w:val="1"/>
    <w:link w:val="9"/>
    <w:semiHidden/>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rFonts w:ascii="Times New Roman" w:hAnsi="Times New Roman" w:eastAsia="宋体" w:cs="Times New Roman"/>
      <w:sz w:val="18"/>
      <w:szCs w:val="18"/>
    </w:rPr>
  </w:style>
  <w:style w:type="character" w:customStyle="1" w:styleId="9">
    <w:name w:val="页脚 Char"/>
    <w:basedOn w:val="7"/>
    <w:link w:val="4"/>
    <w:semiHidden/>
    <w:qFormat/>
    <w:uiPriority w:val="99"/>
    <w:rPr>
      <w:rFonts w:ascii="Times New Roman" w:hAnsi="Times New Roman" w:eastAsia="宋体" w:cs="Times New Roman"/>
      <w:sz w:val="18"/>
      <w:szCs w:val="18"/>
    </w:rPr>
  </w:style>
  <w:style w:type="paragraph" w:styleId="10">
    <w:name w:val="List Paragraph"/>
    <w:basedOn w:val="1"/>
    <w:qFormat/>
    <w:uiPriority w:val="34"/>
    <w:pPr>
      <w:ind w:firstLine="420" w:firstLineChars="200"/>
    </w:pPr>
  </w:style>
  <w:style w:type="paragraph" w:customStyle="1" w:styleId="11">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Words>
  <Characters>912</Characters>
  <Lines>7</Lines>
  <Paragraphs>2</Paragraphs>
  <TotalTime>1</TotalTime>
  <ScaleCrop>false</ScaleCrop>
  <LinksUpToDate>false</LinksUpToDate>
  <CharactersWithSpaces>1070</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Jenny</cp:lastModifiedBy>
  <dcterms:modified xsi:type="dcterms:W3CDTF">2024-06-21T09:06:47Z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AFD9F0078D3C46899666A1EE26079A1E</vt:lpwstr>
  </property>
</Properties>
</file>