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bookmarkStart w:id="0" w:name="_GoBack"/>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我方拟</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承租</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杭州市上城区新风丽都北苑底商59号房屋4年租赁权</w:t>
      </w: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1、我方已认真阅读、知悉并自愿遵守</w:t>
      </w:r>
      <w:r>
        <w:rPr>
          <w:rFonts w:hint="eastAsia" w:ascii="宋体" w:hAnsi="宋体" w:eastAsia="宋体" w:cs="宋体"/>
          <w:color w:val="000000" w:themeColor="text1"/>
          <w:sz w:val="21"/>
          <w:szCs w:val="21"/>
          <w:highlight w:val="none"/>
          <w:lang w:val="en-US" w:eastAsia="zh-CN"/>
          <w14:textFill>
            <w14:solidFill>
              <w14:schemeClr w14:val="tx1"/>
            </w14:solidFill>
          </w14:textFill>
        </w:rPr>
        <w:t>杭州产权交易所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《国有资产转让交易规则》</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在线报价实施办法</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在线报价交易须知</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2、我方提交</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我方</w:t>
      </w:r>
      <w:r>
        <w:rPr>
          <w:rFonts w:hint="eastAsia" w:ascii="宋体" w:hAnsi="宋体" w:eastAsia="宋体" w:cs="宋体"/>
          <w:color w:val="000000" w:themeColor="text1"/>
          <w:sz w:val="21"/>
          <w:szCs w:val="21"/>
          <w:highlight w:val="none"/>
          <w14:textFill>
            <w14:solidFill>
              <w14:schemeClr w14:val="tx1"/>
            </w14:solidFill>
          </w14:textFill>
        </w:rPr>
        <w:t>同意在被确定为承租方之日起3个工作日内，携带承租申请材料原件到杭交所完成现场确认并签署《房屋租赁合同》；并在《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4、若我方成为承租方，我方已知悉并同意：同意杭交所在经出租方申请之日起3个工作日内将承租方已交纳的履约保证金、装修保证金和首期租金全部划转至出租方指定账户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7、若我方成为承租方，我方已知悉并同意：根据房屋房屋不动产权证载明，用途为</w:t>
      </w:r>
      <w:r>
        <w:rPr>
          <w:rFonts w:hint="eastAsia" w:ascii="宋体" w:hAnsi="宋体" w:eastAsia="宋体" w:cs="宋体"/>
          <w:color w:val="000000" w:themeColor="text1"/>
          <w:sz w:val="21"/>
          <w:szCs w:val="21"/>
          <w:highlight w:val="none"/>
          <w14:textFill>
            <w14:solidFill>
              <w14:schemeClr w14:val="tx1"/>
            </w14:solidFill>
          </w14:textFill>
        </w:rPr>
        <w:t>非住宅</w:t>
      </w:r>
      <w:r>
        <w:rPr>
          <w:rFonts w:hint="eastAsia" w:ascii="宋体" w:hAnsi="宋体" w:eastAsia="宋体" w:cs="宋体"/>
          <w:color w:val="000000" w:themeColor="text1"/>
          <w:sz w:val="21"/>
          <w:szCs w:val="21"/>
          <w:highlight w:val="none"/>
          <w14:textFill>
            <w14:solidFill>
              <w14:schemeClr w14:val="tx1"/>
            </w14:solidFill>
          </w14:textFill>
        </w:rPr>
        <w:t>，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租赁期内，未经出租方书面同意，承租方不得单方面改变经营业态，也不得对所租赁的物业进行整体转让、转包、分租、转租。承租方擅自采取上述行动的，出租方有权解除《房屋租赁合同》，没收承租方的租赁保证金和装修保证金，且承租方应当按当年年租金标准的50%向出租方支付违约金。如因此给出租方造成损失的，承租方还应承担全部赔偿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 w:val="21"/>
          <w:szCs w:val="21"/>
          <w:highlight w:val="none"/>
          <w:lang w:val="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w:t>
      </w:r>
      <w:r>
        <w:rPr>
          <w:rFonts w:hint="eastAsia" w:ascii="宋体" w:hAnsi="宋体" w:eastAsia="宋体" w:cs="宋体"/>
          <w:color w:val="000000"/>
          <w:sz w:val="21"/>
          <w:szCs w:val="21"/>
          <w:highlight w:val="none"/>
          <w:lang w:val="en-US" w:eastAsia="zh-CN"/>
        </w:rPr>
        <w:t>出租方</w:t>
      </w:r>
      <w:r>
        <w:rPr>
          <w:rFonts w:hint="eastAsia" w:ascii="宋体" w:hAnsi="宋体" w:eastAsia="宋体" w:cs="宋体"/>
          <w:color w:val="000000"/>
          <w:sz w:val="21"/>
          <w:szCs w:val="21"/>
          <w:highlight w:val="none"/>
          <w:lang w:val="zh-CN"/>
        </w:rPr>
        <w:t>及各经营主体工作人员及其配偶子女及其直接/间接控制的主体不得作为意向承租人参与相关房产竞拍。</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若我方成为承租方，我方已知悉并同意：本次交易出租方和承租方的相关权利义务以《房屋租赁合同》（样本）为准。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若我方成为承租方，我方已知悉并同意：本项目承租方须交纳交易服务费，①出租标的有2个及以上意向承租方报名且成交的，承租方支付按成首年一个月租金计的交易服务费；②出租标的只有一个意向承租方报名且成交的，承租方支付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（3）在被确定为承租方后未按约定签署《房屋租赁合同》的或未按约定支付交易服务费、履约保证金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装修保证金</w:t>
      </w:r>
      <w:r>
        <w:rPr>
          <w:rFonts w:hint="eastAsia" w:ascii="宋体" w:hAnsi="宋体" w:eastAsia="宋体" w:cs="宋体"/>
          <w:color w:val="000000" w:themeColor="text1"/>
          <w:sz w:val="21"/>
          <w:szCs w:val="21"/>
          <w:highlight w:val="none"/>
          <w14:textFill>
            <w14:solidFill>
              <w14:schemeClr w14:val="tx1"/>
            </w14:solidFill>
          </w14:textFill>
        </w:rPr>
        <w:t>和首期租金的；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（5）存在其他违反交易规则情形的。</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意向</w:t>
      </w:r>
      <w:r>
        <w:rPr>
          <w:rFonts w:hint="eastAsia" w:ascii="宋体" w:hAnsi="宋体" w:eastAsia="宋体" w:cs="宋体"/>
          <w:color w:val="000000" w:themeColor="text1"/>
          <w:sz w:val="21"/>
          <w:szCs w:val="21"/>
          <w:highlight w:val="none"/>
          <w:lang w:eastAsia="zh-CN"/>
          <w14:textFill>
            <w14:solidFill>
              <w14:schemeClr w14:val="tx1"/>
            </w14:solidFill>
          </w14:textFill>
        </w:rPr>
        <w:t>承租</w:t>
      </w:r>
      <w:r>
        <w:rPr>
          <w:rFonts w:hint="eastAsia" w:ascii="宋体" w:hAnsi="宋体" w:eastAsia="宋体" w:cs="宋体"/>
          <w:color w:val="000000" w:themeColor="text1"/>
          <w:sz w:val="21"/>
          <w:szCs w:val="21"/>
          <w:highlight w:val="none"/>
          <w14:textFill>
            <w14:solidFill>
              <w14:schemeClr w14:val="tx1"/>
            </w14:solidFill>
          </w14:textFill>
        </w:rPr>
        <w:t>方（签章）：</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787EC0"/>
    <w:rsid w:val="45962498"/>
    <w:rsid w:val="45D5187E"/>
    <w:rsid w:val="4688408C"/>
    <w:rsid w:val="48F317E9"/>
    <w:rsid w:val="499E6D18"/>
    <w:rsid w:val="4AFE08AD"/>
    <w:rsid w:val="4B2015F5"/>
    <w:rsid w:val="4CA44BB6"/>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CD03030"/>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2024-06-17T06:51:00Z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