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bookmarkStart w:id="0" w:name="_GoBack"/>
      <w:bookmarkEnd w:id="0"/>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杭州市上城区新风丽都北苑底商25号房屋4年租赁权</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1、我方已认真阅读、知悉并自愿遵守</w:t>
      </w:r>
      <w:r>
        <w:rPr>
          <w:rFonts w:hint="eastAsia" w:ascii="宋体" w:hAnsi="宋体" w:eastAsia="宋体" w:cs="宋体"/>
          <w:color w:val="000000" w:themeColor="text1"/>
          <w:sz w:val="21"/>
          <w:szCs w:val="21"/>
          <w:highlight w:val="none"/>
          <w:lang w:val="en-US" w:eastAsia="zh-CN"/>
          <w14:textFill>
            <w14:solidFill>
              <w14:schemeClr w14:val="tx1"/>
            </w14:solidFill>
          </w14:textFill>
        </w:rPr>
        <w:t>杭州产权交易所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《国有资产转让交易规则》</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在线报价实施办法</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在线报价交易须知</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2、我方提交</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同意在被确定为承租方之日起3个工作日内，携带承租申请材料原件到杭交所完成现场确认并签署《房屋租赁合同》；并在《房屋租赁合同》签署之日起5个工作日内向杭交所指定账户一次性支付交易服务费、履约保证金、装修保证金（首年一个月租金）和首期租金等交易资金（以到账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4、若我方成为承租方，我方已知悉并同意：同意杭交所在经出租方申请之日起3个工作日内将承租方已交纳的履约保证金、装修保证金和首期租金全部划转至出租方指定账户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7、若我方成为承租方，我方已知悉并同意：根据房屋房屋不动产权证载明，用途为</w:t>
      </w:r>
      <w:r>
        <w:rPr>
          <w:rFonts w:hint="eastAsia" w:ascii="宋体" w:hAnsi="宋体" w:eastAsia="宋体" w:cs="宋体"/>
          <w:color w:val="000000" w:themeColor="text1"/>
          <w:sz w:val="21"/>
          <w:szCs w:val="21"/>
          <w:highlight w:val="none"/>
          <w14:textFill>
            <w14:solidFill>
              <w14:schemeClr w14:val="tx1"/>
            </w14:solidFill>
          </w14:textFill>
        </w:rPr>
        <w:t>非住宅</w:t>
      </w:r>
      <w:r>
        <w:rPr>
          <w:rFonts w:hint="eastAsia" w:ascii="宋体" w:hAnsi="宋体" w:eastAsia="宋体" w:cs="宋体"/>
          <w:color w:val="000000" w:themeColor="text1"/>
          <w:sz w:val="21"/>
          <w:szCs w:val="21"/>
          <w:highlight w:val="none"/>
          <w14:textFill>
            <w14:solidFill>
              <w14:schemeClr w14:val="tx1"/>
            </w14:solidFill>
          </w14:textFill>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sz w:val="21"/>
          <w:szCs w:val="21"/>
          <w:highlight w:val="none"/>
          <w:lang w:val="en-US" w:eastAsia="zh-CN"/>
        </w:rPr>
        <w:t>出租方</w:t>
      </w:r>
      <w:r>
        <w:rPr>
          <w:rFonts w:hint="eastAsia" w:ascii="宋体" w:hAnsi="宋体" w:eastAsia="宋体" w:cs="宋体"/>
          <w:color w:val="000000"/>
          <w:sz w:val="21"/>
          <w:szCs w:val="21"/>
          <w:highlight w:val="none"/>
          <w:lang w:val="zh-CN"/>
        </w:rPr>
        <w:t>及各经营主体工作人员及其配偶子女及其直接/间接控制的主体不得作为意向承租人参与相关房产竞拍。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若我方成为承租方，我方已知悉并同意：本次交易出租方和承租方的相关权利义务以《房屋租赁合同》（样本）为准。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项目承租方须交纳交易服务费，①出租标的有2个及以上意向承租方报名且成交的，承租方支付按成首年一个月租金计的交易服务费；②出租标的只有一个意向承租方报名且成交的，承租方支付首年半个月租金计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（3）在被确定为承租方后未按约定签署《房屋租赁合同》的或未按约定支付交易服务费、履约保证金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14:textFill>
            <w14:solidFill>
              <w14:schemeClr w14:val="tx1"/>
            </w14:solidFill>
          </w14:textFill>
        </w:rPr>
        <w:t>和首期租金的；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（5）存在其他违反交易规则情形的。</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意向</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方（签章）：</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CD03030"/>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A642456"/>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4</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2024-06-17T06:50:55Z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