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承租杭州市滨江区迎春小区1-50、67-117号房屋5年租赁权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eastAsia="宋体" w:cs="Times New Roman"/>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履约保证金和交易服务费等交易资金（以到账时间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szCs w:val="21"/>
          <w:highlight w:val="none"/>
        </w:rPr>
        <w:t>同意杭交所经出租方申请之日起3工作日内将承租方已交纳的首期租金、履约保证金全部划转至出租方指定账户。</w:t>
      </w:r>
    </w:p>
    <w:p>
      <w:pPr>
        <w:spacing w:line="240" w:lineRule="auto"/>
        <w:ind w:firstLine="420" w:firstLineChars="200"/>
        <w:rPr>
          <w:rFonts w:hint="eastAsia" w:eastAsia="宋体" w:asciiTheme="minorEastAsia" w:hAnsi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承租方对租赁房屋标注建筑面积数值无异议，承租方同意不因标注建筑面积与实测面积存在差异而以此为由要求出租方对租金等相关费用进行调整</w:t>
      </w:r>
      <w:r>
        <w:rPr>
          <w:rFonts w:hint="eastAsia" w:ascii="宋体" w:hAnsi="宋体" w:eastAsia="宋体" w:cs="Times New Roman"/>
          <w:szCs w:val="21"/>
          <w:highlight w:val="none"/>
          <w:lang w:eastAsia="zh-CN"/>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承租方不得对租赁房屋进行整体转让、转包、转租（未经出租方书面认可的承包经营、联营、合伙、合股、股权转让等均视为转租）、分租，不得以互换、借用等形式允许任何第三人使用。</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意向承租方须在承租前自行对租赁房屋进行全面了解，并对其经营所需的各项审批条件和要求进行充分自核。意向承租方参与竞租的行为将被认为已作充分的预判和决策，无论因何种原因导致不能获得经营开设审批（包括房屋规划用途和房屋既有结构、设计等因素在内），或后续因为政策变化导致无法继续开设的各项经营风险均由意向承租方承诺自行承担，出租方不对无法履行、投入成本、装修损失等承担任何形式的赔偿或补偿。</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本次招租的配套用房（租赁房屋）包含因电梯加装被占用区域，因目前无法进行分割测绘，故租赁房屋以现场看样的现状为准，出租方不以此对租金进行调整，承租方无权使用电梯加装被占用区域的配套用房，意向承租方确认在参与竞租、合同签订前已充分了解租赁房屋现状、实际使用情况、面积、经营业态、与周边房屋设施关联情况等全部状况，入户水、电等设施均由承租方自行解决；租赁期限内，若遇到出租方需统一安装水电设施、公共设施、污水检测疏通等情况时，承租方须无条件配合，不得以此阻扰并要求出租方减免租金、赔偿或补偿。</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9、</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在承租未满6个月的，承租方不得提出提前退租；承租方在承租满6个月后可向出租方申请提前退租，经出租方同意后，双方签订《终止房屋租赁合同协议书》，同时，承租方应确保租赁房屋于签订该协议当日已处于腾空状态，租赁费计至承租方向行政主管部门办理完毕注销或迁移在租赁房屋办理的租赁备案证、营业执照等各项证照的证明。承租方提前退租的，需支付相当于3个月租金标准（以解除合同当年的月租金为标准）的违约金。租赁期限届满，承租方须自愿无条件腾退并交还房屋；同时，承租方确认及同意放弃同等条件下的优先租赁</w:t>
      </w:r>
      <w:r>
        <w:rPr>
          <w:rFonts w:hint="eastAsia" w:ascii="宋体" w:hAnsi="宋体" w:eastAsia="宋体" w:cs="Times New Roman"/>
          <w:szCs w:val="21"/>
          <w:highlight w:val="none"/>
          <w:lang w:val="en-US" w:eastAsia="zh-CN"/>
        </w:rPr>
        <w:t>权</w:t>
      </w:r>
      <w:r>
        <w:rPr>
          <w:rFonts w:hint="eastAsia" w:ascii="宋体" w:hAnsi="宋体" w:eastAsia="宋体" w:cs="Times New Roman"/>
          <w:szCs w:val="21"/>
          <w:highlight w:val="none"/>
        </w:rPr>
        <w:t>。</w:t>
      </w:r>
    </w:p>
    <w:p>
      <w:pPr>
        <w:spacing w:line="240" w:lineRule="auto"/>
        <w:ind w:firstLine="420" w:firstLineChars="200"/>
        <w:rPr>
          <w:rFonts w:hint="eastAsia" w:eastAsia="宋体" w:asciiTheme="minorEastAsia" w:hAnsiTheme="minorEastAsia" w:cstheme="minorEastAsia"/>
          <w:sz w:val="21"/>
          <w:szCs w:val="21"/>
          <w:highlight w:val="none"/>
          <w:lang w:eastAsia="zh-CN"/>
        </w:rPr>
      </w:pPr>
      <w:bookmarkStart w:id="0" w:name="_GoBack"/>
      <w:r>
        <w:rPr>
          <w:rFonts w:hint="eastAsia" w:asciiTheme="minorEastAsia" w:hAnsiTheme="minorEastAsia" w:eastAsiaTheme="minorEastAsia" w:cstheme="minorEastAsia"/>
          <w:sz w:val="21"/>
          <w:szCs w:val="21"/>
          <w:highlight w:val="none"/>
          <w:lang w:val="en-US" w:eastAsia="zh-CN"/>
        </w:rPr>
        <w:t>10、</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租赁期限内，如遇政府投资建设、民生工</w:t>
      </w:r>
      <w:bookmarkEnd w:id="0"/>
      <w:r>
        <w:rPr>
          <w:rFonts w:hint="eastAsia" w:ascii="宋体" w:hAnsi="宋体" w:eastAsia="宋体" w:cs="Times New Roman"/>
          <w:szCs w:val="21"/>
          <w:highlight w:val="none"/>
        </w:rPr>
        <w:t>程实施、电梯加装等因素需对租赁房屋进行部分或全部收回的，承租方须无条件配合；受影响的面积在受影响期间可免收租金，但出租方不予承担任何赔偿或补偿责任，承租方也不得以此要求出租方给与任何赔偿或补偿；具体受影响面积以相关实施单位测量为准</w:t>
      </w:r>
      <w:r>
        <w:rPr>
          <w:rFonts w:hint="eastAsia" w:ascii="宋体" w:hAnsi="宋体" w:eastAsia="宋体" w:cs="Times New Roman"/>
          <w:szCs w:val="21"/>
          <w:highlight w:val="none"/>
          <w:lang w:eastAsia="zh-CN"/>
        </w:rPr>
        <w:t>。</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11、</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租赁期限内，承租方装修中不得改变房屋结构；不得破坏承重墙、剪力墙、配重墙、柱子及配套用房内一切可能影响房屋结构的建筑物体；不得增减楼梯或改变楼梯位置和方向；不得改变或覆盖消防通道门、消防箱、配电间、污水管道及消防设施的位置，且承租方须按《消防法》等规定对租赁房屋进行装修使用；如在后期检查中发现不符合以上规定的，承租方需无条件进行改造恢复；如租赁期限内出租方对公共设施进行维修、检修的，承租方须无条件配合。</w:t>
      </w:r>
    </w:p>
    <w:p>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12、</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承租方拖欠租金超过合同约定支付时间三个月及以上的，将不得再租赁出租方其他房屋。</w:t>
      </w:r>
    </w:p>
    <w:p>
      <w:pPr>
        <w:spacing w:line="240" w:lineRule="auto"/>
        <w:ind w:firstLine="420" w:firstLineChars="200"/>
        <w:rPr>
          <w:rFonts w:hint="eastAsia" w:ascii="宋体" w:hAnsi="宋体" w:eastAsia="宋体" w:cs="Times New Roman"/>
          <w:szCs w:val="21"/>
          <w:highlight w:val="none"/>
        </w:rPr>
      </w:pPr>
      <w:r>
        <w:rPr>
          <w:rFonts w:hint="eastAsia" w:asciiTheme="minorEastAsia" w:hAnsiTheme="minorEastAsia" w:eastAsiaTheme="minorEastAsia" w:cstheme="minorEastAsia"/>
          <w:sz w:val="21"/>
          <w:szCs w:val="21"/>
          <w:highlight w:val="none"/>
          <w:lang w:val="en-US" w:eastAsia="zh-CN"/>
        </w:rPr>
        <w:t>13、</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针对本次招租的配套用房（租赁房屋）中部分房屋存有现经营户，承租方与出租方签署《房屋租赁合同》并接收房屋后，承租方应自行与现经营户协商后将房屋转租给现经营户或由现经营户在限定的时间内腾退；若承租方与现经营户就继续租赁或腾退事宜产生争议的，由承租方自行通过司法途径解决，出租方对此不承担任何法律责任，且承租方不得以此要求出租方减免租金、补偿或赔偿。</w:t>
      </w:r>
    </w:p>
    <w:p>
      <w:pPr>
        <w:pStyle w:val="2"/>
        <w:spacing w:line="240" w:lineRule="auto"/>
        <w:ind w:firstLine="420" w:firstLineChars="0"/>
        <w:rPr>
          <w:rFonts w:hint="default" w:eastAsia="宋体"/>
          <w:lang w:val="en-US" w:eastAsia="zh-CN"/>
        </w:rPr>
      </w:pPr>
      <w:r>
        <w:rPr>
          <w:rFonts w:hint="eastAsia"/>
          <w:lang w:val="en-US" w:eastAsia="zh-CN"/>
        </w:rPr>
        <w:t>14、</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eastAsia="宋体" w:cs="Times New Roman"/>
          <w:szCs w:val="21"/>
          <w:highlight w:val="none"/>
        </w:rPr>
        <w:t>本次租赁权公开交易出租方与承租方的权利和义务以《房屋租赁合同》（样本）约定为准</w:t>
      </w:r>
      <w:r>
        <w:rPr>
          <w:rFonts w:hint="eastAsia" w:ascii="宋体" w:hAnsi="宋体" w:cs="Times New Roman"/>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15</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cstheme="minorEastAsia"/>
          <w:sz w:val="21"/>
          <w:szCs w:val="21"/>
          <w:highlight w:val="none"/>
        </w:rPr>
        <w:t>若我方成为承租方，我方已知悉并同意：本项目成交后，承租方须支付按首年一个月租金计的交易服务费。</w:t>
      </w:r>
    </w:p>
    <w:p>
      <w:pPr>
        <w:spacing w:line="240" w:lineRule="auto"/>
        <w:ind w:firstLine="420" w:firstLineChars="200"/>
        <w:rPr>
          <w:rFonts w:hint="eastAsia" w:ascii="宋体" w:hAnsi="宋体"/>
          <w:sz w:val="21"/>
          <w:szCs w:val="21"/>
          <w:highlight w:val="none"/>
        </w:rPr>
      </w:pPr>
      <w:r>
        <w:rPr>
          <w:rFonts w:hint="eastAsia" w:asciiTheme="minorEastAsia" w:hAnsiTheme="minorEastAsia" w:eastAsiaTheme="minorEastAsia"/>
          <w:sz w:val="21"/>
          <w:szCs w:val="21"/>
          <w:highlight w:val="none"/>
          <w:lang w:val="en-US" w:eastAsia="zh-CN"/>
        </w:rPr>
        <w:t>16</w:t>
      </w:r>
      <w:r>
        <w:rPr>
          <w:rFonts w:asciiTheme="minorEastAsia" w:hAnsiTheme="minorEastAsia" w:eastAsiaTheme="minorEastAsia"/>
          <w:sz w:val="21"/>
          <w:szCs w:val="21"/>
          <w:highlight w:val="none"/>
        </w:rPr>
        <w:t>、</w:t>
      </w:r>
      <w:r>
        <w:rPr>
          <w:rFonts w:hint="eastAsia" w:ascii="宋体" w:hAnsi="宋体"/>
          <w:sz w:val="21"/>
          <w:szCs w:val="21"/>
          <w:highlight w:val="none"/>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（1）意向承租方提交承租申请材料并交纳交易保证金后单方撤回承租申请的；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（2）产生符合条件的意向承租方后，各意向承租方在竞价期间均不报价的；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（3）在被确定为承租方后未按约定签署《房屋租赁合同》或未按约定支付首期租金、履约保证金和交易服务费的；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（4）意向承租方未履行书面承诺事项的；</w:t>
      </w:r>
    </w:p>
    <w:p>
      <w:pPr>
        <w:spacing w:line="240" w:lineRule="auto"/>
        <w:ind w:firstLine="420" w:firstLineChars="200"/>
        <w:rPr>
          <w:rFonts w:hint="eastAsia" w:ascii="宋体" w:hAnsi="宋体"/>
          <w:sz w:val="21"/>
          <w:szCs w:val="21"/>
          <w:highlight w:val="none"/>
        </w:rPr>
      </w:pPr>
      <w:r>
        <w:rPr>
          <w:rFonts w:hint="eastAsia" w:ascii="宋体" w:hAnsi="宋体"/>
          <w:sz w:val="21"/>
          <w:szCs w:val="21"/>
          <w:highlight w:val="none"/>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6E2FFD"/>
    <w:rsid w:val="02720D6F"/>
    <w:rsid w:val="03066051"/>
    <w:rsid w:val="033F1305"/>
    <w:rsid w:val="03637B8E"/>
    <w:rsid w:val="059E2874"/>
    <w:rsid w:val="06262CE2"/>
    <w:rsid w:val="06A90044"/>
    <w:rsid w:val="0766770C"/>
    <w:rsid w:val="09B7306A"/>
    <w:rsid w:val="09E76B80"/>
    <w:rsid w:val="0B244B23"/>
    <w:rsid w:val="0BFF1D04"/>
    <w:rsid w:val="0DD8648B"/>
    <w:rsid w:val="0DF1051E"/>
    <w:rsid w:val="0FC71C56"/>
    <w:rsid w:val="0FE4035F"/>
    <w:rsid w:val="11B20C64"/>
    <w:rsid w:val="124C7A90"/>
    <w:rsid w:val="1483571A"/>
    <w:rsid w:val="15337A69"/>
    <w:rsid w:val="163E43D4"/>
    <w:rsid w:val="167D3903"/>
    <w:rsid w:val="173E5800"/>
    <w:rsid w:val="18467FFE"/>
    <w:rsid w:val="1AE925D2"/>
    <w:rsid w:val="1BA11F39"/>
    <w:rsid w:val="1BF84071"/>
    <w:rsid w:val="1C5609A5"/>
    <w:rsid w:val="1CBF22CE"/>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26749C"/>
    <w:rsid w:val="2B885500"/>
    <w:rsid w:val="2C396FCF"/>
    <w:rsid w:val="2D677D69"/>
    <w:rsid w:val="2E574DDA"/>
    <w:rsid w:val="2F1E77C3"/>
    <w:rsid w:val="2F4F78D8"/>
    <w:rsid w:val="2F682983"/>
    <w:rsid w:val="2FA5177C"/>
    <w:rsid w:val="304D2D7D"/>
    <w:rsid w:val="30664B53"/>
    <w:rsid w:val="30FE4BEF"/>
    <w:rsid w:val="31B87656"/>
    <w:rsid w:val="32FB67E2"/>
    <w:rsid w:val="34511A11"/>
    <w:rsid w:val="3720484D"/>
    <w:rsid w:val="385F4F8F"/>
    <w:rsid w:val="390D60C4"/>
    <w:rsid w:val="3B0C5997"/>
    <w:rsid w:val="3B103714"/>
    <w:rsid w:val="3B6738AB"/>
    <w:rsid w:val="3E714D02"/>
    <w:rsid w:val="3FF21887"/>
    <w:rsid w:val="434954AA"/>
    <w:rsid w:val="45962498"/>
    <w:rsid w:val="45D5187E"/>
    <w:rsid w:val="499E6D18"/>
    <w:rsid w:val="4AFE08AD"/>
    <w:rsid w:val="4B2015F5"/>
    <w:rsid w:val="4E376061"/>
    <w:rsid w:val="502F6799"/>
    <w:rsid w:val="5187378F"/>
    <w:rsid w:val="530C093A"/>
    <w:rsid w:val="53241334"/>
    <w:rsid w:val="53E378B1"/>
    <w:rsid w:val="566C6246"/>
    <w:rsid w:val="574E5FE2"/>
    <w:rsid w:val="58B12DCB"/>
    <w:rsid w:val="593970A8"/>
    <w:rsid w:val="5A7D1B2E"/>
    <w:rsid w:val="5B7B2FC6"/>
    <w:rsid w:val="5C5C5FCC"/>
    <w:rsid w:val="5F1477B7"/>
    <w:rsid w:val="5F571A46"/>
    <w:rsid w:val="5FCB5153"/>
    <w:rsid w:val="619D745F"/>
    <w:rsid w:val="62141232"/>
    <w:rsid w:val="63467DB9"/>
    <w:rsid w:val="63C12C87"/>
    <w:rsid w:val="65FA377A"/>
    <w:rsid w:val="663421EF"/>
    <w:rsid w:val="665E6E47"/>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next w:val="4"/>
    <w:qFormat/>
    <w:uiPriority w:val="0"/>
    <w:pPr>
      <w:adjustRightInd w:val="0"/>
      <w:spacing w:line="420" w:lineRule="atLeast"/>
      <w:jc w:val="left"/>
      <w:textAlignment w:val="baseline"/>
    </w:pPr>
    <w:rPr>
      <w:rFonts w:ascii="Times New Roman" w:hAnsi="Times New Roman" w:eastAsia="宋体"/>
      <w:kern w:val="0"/>
      <w:szCs w:val="24"/>
    </w:rPr>
  </w:style>
  <w:style w:type="paragraph" w:styleId="3">
    <w:name w:val="Plain Text"/>
    <w:basedOn w:val="1"/>
    <w:next w:val="4"/>
    <w:unhideWhenUsed/>
    <w:qFormat/>
    <w:uiPriority w:val="0"/>
    <w:rPr>
      <w:rFonts w:ascii="宋体" w:hAnsi="Courier New" w:cs="Courier New"/>
      <w:szCs w:val="21"/>
    </w:rPr>
  </w:style>
  <w:style w:type="paragraph" w:styleId="4">
    <w:name w:val="Body Text"/>
    <w:basedOn w:val="1"/>
    <w:next w:val="5"/>
    <w:qFormat/>
    <w:uiPriority w:val="99"/>
  </w:style>
  <w:style w:type="paragraph" w:styleId="5">
    <w:name w:val="Body Text First Indent"/>
    <w:basedOn w:val="1"/>
    <w:next w:val="1"/>
    <w:qFormat/>
    <w:uiPriority w:val="0"/>
    <w:pPr>
      <w:ind w:firstLine="420" w:firstLineChars="100"/>
    </w:pPr>
    <w:rPr>
      <w:szCs w:val="24"/>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2024-05-13T05:55:36Z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