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杭州市上城区运新花苑五区3幢2临房屋4年租赁权</w:t>
      </w:r>
      <w:bookmarkStart w:id="0" w:name="_GoBack"/>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《国有资产转让交易规则》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和首期租金等交易资金（以到账时间为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根据房屋房屋不动产权证载明，用途为商服用地/非住宅，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宋体" w:hAnsi="宋体"/>
          <w:color w:val="000000"/>
          <w:sz w:val="22"/>
          <w:szCs w:val="24"/>
          <w:u w:val="none"/>
          <w:lang w:val="zh-CN"/>
        </w:rPr>
        <w:t>承租方若在后续经营中需要装修的，则需向出租方缴纳一个月装修保证金。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宋体" w:hAnsi="宋体"/>
          <w:color w:val="000000"/>
          <w:sz w:val="22"/>
          <w:szCs w:val="24"/>
          <w:lang w:val="en-US" w:eastAsia="zh-CN"/>
        </w:rPr>
        <w:t>出租方</w:t>
      </w:r>
      <w:r>
        <w:rPr>
          <w:rFonts w:hint="eastAsia" w:ascii="宋体" w:hAnsi="宋体"/>
          <w:color w:val="000000"/>
          <w:sz w:val="22"/>
          <w:szCs w:val="24"/>
          <w:lang w:val="zh-CN"/>
        </w:rPr>
        <w:t>及各经营主体工作人员及其配偶子女及其直接/间接控制的主体不得作为意向承租人参与相关房产竞拍。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项目承租方须交纳交易服务费，①出租标的有2个及以上意向承租方报名且成交的，承租方支付按成首年一个月租金计的交易服务费；②出租标的只有一个意向承租方报名且成交的，承租方支付首年半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52582A"/>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99E6D18"/>
    <w:rsid w:val="4AFE08AD"/>
    <w:rsid w:val="4B2015F5"/>
    <w:rsid w:val="4CA44BB6"/>
    <w:rsid w:val="4E376061"/>
    <w:rsid w:val="502F6799"/>
    <w:rsid w:val="5187378F"/>
    <w:rsid w:val="530C093A"/>
    <w:rsid w:val="53241334"/>
    <w:rsid w:val="53E378B1"/>
    <w:rsid w:val="566C6246"/>
    <w:rsid w:val="574E5FE2"/>
    <w:rsid w:val="58B12DCB"/>
    <w:rsid w:val="5A7D1B2E"/>
    <w:rsid w:val="5B7B2FC6"/>
    <w:rsid w:val="5C5C5FCC"/>
    <w:rsid w:val="5E914293"/>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2024-01-04T05:38:47Z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