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446" w:firstLineChars="4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滨江区公共停车场地经营权转让合同</w:t>
      </w:r>
      <w:r>
        <w:rPr>
          <w:rFonts w:hint="eastAsia" w:asciiTheme="majorEastAsia" w:hAnsiTheme="majorEastAsia" w:eastAsiaTheme="majorEastAsia" w:cstheme="majorEastAsia"/>
          <w:b/>
          <w:bCs/>
          <w:sz w:val="36"/>
          <w:szCs w:val="36"/>
          <w:lang w:eastAsia="zh-CN"/>
        </w:rPr>
        <w:t>（</w:t>
      </w:r>
      <w:r>
        <w:rPr>
          <w:rFonts w:hint="eastAsia" w:asciiTheme="majorEastAsia" w:hAnsiTheme="majorEastAsia" w:eastAsiaTheme="majorEastAsia" w:cstheme="majorEastAsia"/>
          <w:b/>
          <w:bCs/>
          <w:sz w:val="36"/>
          <w:szCs w:val="36"/>
          <w:lang w:val="en-US" w:eastAsia="zh-CN"/>
        </w:rPr>
        <w:t>样本</w:t>
      </w:r>
      <w:r>
        <w:rPr>
          <w:rFonts w:hint="eastAsia" w:asciiTheme="majorEastAsia" w:hAnsiTheme="majorEastAsia" w:eastAsiaTheme="majorEastAsia" w:cstheme="majorEastAsia"/>
          <w:b/>
          <w:bCs/>
          <w:sz w:val="36"/>
          <w:szCs w:val="36"/>
          <w:lang w:eastAsia="zh-CN"/>
        </w:rPr>
        <w:t>）</w:t>
      </w:r>
      <w:bookmarkStart w:id="0" w:name="_GoBack"/>
      <w:bookmarkEnd w:id="0"/>
    </w:p>
    <w:p>
      <w:pPr>
        <w:spacing w:line="560" w:lineRule="exact"/>
        <w:rPr>
          <w:rFonts w:asciiTheme="majorEastAsia" w:hAnsiTheme="majorEastAsia" w:eastAsiaTheme="majorEastAsia" w:cstheme="majorEastAsia"/>
          <w:sz w:val="24"/>
          <w:szCs w:val="24"/>
        </w:rPr>
      </w:pPr>
    </w:p>
    <w:p>
      <w:pPr>
        <w:adjustRightInd w:val="0"/>
        <w:snapToGrid w:val="0"/>
        <w:spacing w:line="56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甲方：杭州高新国有控股集团有限公司</w:t>
      </w:r>
    </w:p>
    <w:p>
      <w:p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地址：浙江省杭州市滨江区江南大道3900号3层3005室</w:t>
      </w:r>
    </w:p>
    <w:p>
      <w:p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r>
        <w:fldChar w:fldCharType="begin"/>
      </w:r>
      <w:r>
        <w:instrText xml:space="preserve"> HYPERLINK "https://www.qcc.com/pl/pce1bb0d19f5295bd3c37880a6ba7755.html" \t "https://www.qcc.com/firm/_blank" </w:instrText>
      </w:r>
      <w:r>
        <w:fldChar w:fldCharType="separate"/>
      </w:r>
      <w:r>
        <w:rPr>
          <w:rFonts w:hint="eastAsia" w:asciiTheme="majorEastAsia" w:hAnsiTheme="majorEastAsia" w:eastAsiaTheme="majorEastAsia" w:cstheme="majorEastAsia"/>
          <w:sz w:val="24"/>
          <w:szCs w:val="24"/>
        </w:rPr>
        <w:t>胡跃华</w:t>
      </w:r>
      <w:r>
        <w:rPr>
          <w:rFonts w:hint="eastAsia" w:asciiTheme="majorEastAsia" w:hAnsiTheme="majorEastAsia" w:eastAsiaTheme="majorEastAsia" w:cstheme="majorEastAsia"/>
          <w:sz w:val="24"/>
          <w:szCs w:val="24"/>
        </w:rPr>
        <w:fldChar w:fldCharType="end"/>
      </w:r>
    </w:p>
    <w:p>
      <w:pPr>
        <w:adjustRightInd w:val="0"/>
        <w:snapToGrid w:val="0"/>
        <w:spacing w:line="560" w:lineRule="exact"/>
        <w:rPr>
          <w:rFonts w:asciiTheme="majorEastAsia" w:hAnsiTheme="majorEastAsia" w:eastAsiaTheme="majorEastAsia" w:cstheme="majorEastAsia"/>
          <w:sz w:val="24"/>
          <w:szCs w:val="24"/>
        </w:rPr>
      </w:pPr>
    </w:p>
    <w:p>
      <w:p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w:t>
      </w:r>
    </w:p>
    <w:p>
      <w:p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地址：</w:t>
      </w:r>
    </w:p>
    <w:p>
      <w:p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p>
    <w:p>
      <w:pPr>
        <w:adjustRightInd w:val="0"/>
        <w:snapToGrid w:val="0"/>
        <w:spacing w:line="560" w:lineRule="exact"/>
        <w:rPr>
          <w:rFonts w:asciiTheme="majorEastAsia" w:hAnsiTheme="majorEastAsia" w:eastAsiaTheme="majorEastAsia" w:cstheme="majorEastAsia"/>
          <w:sz w:val="24"/>
          <w:szCs w:val="24"/>
        </w:rPr>
      </w:pPr>
    </w:p>
    <w:p>
      <w:pPr>
        <w:adjustRightInd w:val="0"/>
        <w:snapToGrid w:val="0"/>
        <w:spacing w:line="5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甲乙双方根据《中华人民共和国民法典》及其它有关法律、法规之规定，在平等、自愿、协商一致的基础上，就甲方向乙方转让下列场地经营权达成如下协议：</w:t>
      </w:r>
    </w:p>
    <w:p>
      <w:pPr>
        <w:numPr>
          <w:ilvl w:val="0"/>
          <w:numId w:val="1"/>
        </w:numPr>
        <w:adjustRightInd w:val="0"/>
        <w:snapToGrid w:val="0"/>
        <w:spacing w:before="156" w:beforeLines="50" w:after="156" w:afterLines="50" w:line="560" w:lineRule="exac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停</w:t>
      </w:r>
      <w:r>
        <w:rPr>
          <w:rFonts w:hint="eastAsia" w:asciiTheme="majorEastAsia" w:hAnsiTheme="majorEastAsia" w:eastAsiaTheme="majorEastAsia" w:cstheme="majorEastAsia"/>
          <w:b/>
          <w:color w:val="000000" w:themeColor="text1"/>
          <w:sz w:val="24"/>
          <w:szCs w:val="24"/>
          <w14:textFill>
            <w14:solidFill>
              <w14:schemeClr w14:val="tx1"/>
            </w14:solidFill>
          </w14:textFill>
        </w:rPr>
        <w:t>车场地经营</w:t>
      </w:r>
      <w:r>
        <w:rPr>
          <w:rFonts w:hint="eastAsia" w:asciiTheme="majorEastAsia" w:hAnsiTheme="majorEastAsia" w:eastAsiaTheme="majorEastAsia" w:cstheme="majorEastAsia"/>
          <w:b/>
          <w:sz w:val="24"/>
          <w:szCs w:val="24"/>
        </w:rPr>
        <w:t>权基本情况</w:t>
      </w:r>
    </w:p>
    <w:p>
      <w:pPr>
        <w:numPr>
          <w:ilvl w:val="0"/>
          <w:numId w:val="2"/>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标的名称：杭州市滨江区</w:t>
      </w:r>
      <w:r>
        <w:rPr>
          <w:rFonts w:hint="eastAsia" w:asciiTheme="majorEastAsia" w:hAnsiTheme="majorEastAsia" w:eastAsiaTheme="majorEastAsia" w:cstheme="majorEastAsia"/>
          <w:sz w:val="24"/>
          <w:szCs w:val="24"/>
          <w:lang w:val="en-US" w:eastAsia="zh-CN"/>
        </w:rPr>
        <w:t>1597</w:t>
      </w:r>
      <w:r>
        <w:rPr>
          <w:rFonts w:hint="eastAsia" w:asciiTheme="majorEastAsia" w:hAnsiTheme="majorEastAsia" w:eastAsiaTheme="majorEastAsia" w:cstheme="majorEastAsia"/>
          <w:sz w:val="24"/>
          <w:szCs w:val="24"/>
        </w:rPr>
        <w:t>个公共停车场和道路停车泊位经营权。</w:t>
      </w:r>
    </w:p>
    <w:p>
      <w:pPr>
        <w:numPr>
          <w:ilvl w:val="0"/>
          <w:numId w:val="2"/>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涉及的停车场地位于</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江一公园停车场、沿江 1号 停车场、沿江 2号停车场等12处停车场 ,包含1597个停车场泊位</w:t>
      </w:r>
      <w:r>
        <w:rPr>
          <w:rFonts w:hint="eastAsia" w:asciiTheme="majorEastAsia" w:hAnsiTheme="majorEastAsia" w:eastAsiaTheme="majorEastAsia" w:cstheme="majorEastAsia"/>
          <w:sz w:val="24"/>
          <w:szCs w:val="24"/>
        </w:rPr>
        <w:t>。</w:t>
      </w:r>
    </w:p>
    <w:p>
      <w:pPr>
        <w:numPr>
          <w:ilvl w:val="0"/>
          <w:numId w:val="2"/>
        </w:numPr>
        <w:adjustRightInd w:val="0"/>
        <w:snapToGrid w:val="0"/>
        <w:spacing w:line="560" w:lineRule="exact"/>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转让经营权涉及的停车场地具体位置、性质、类型及数量见：附件-《滨江区公共停车场地经营权明细表</w:t>
      </w:r>
      <w:r>
        <w:rPr>
          <w:rFonts w:hint="eastAsia" w:asciiTheme="majorEastAsia" w:hAnsiTheme="majorEastAsia" w:eastAsiaTheme="majorEastAsia" w:cstheme="majorEastAsia"/>
          <w:b/>
          <w:bCs/>
          <w:sz w:val="24"/>
          <w:szCs w:val="24"/>
        </w:rPr>
        <w:t>标段</w:t>
      </w:r>
      <w:r>
        <w:rPr>
          <w:rFonts w:hint="eastAsia" w:asciiTheme="majorEastAsia" w:hAnsiTheme="majorEastAsia" w:eastAsiaTheme="majorEastAsia" w:cstheme="majorEastAsia"/>
          <w:b/>
          <w:bCs/>
          <w:sz w:val="24"/>
          <w:szCs w:val="24"/>
          <w:lang w:val="en-US" w:eastAsia="zh-CN"/>
        </w:rPr>
        <w:t>二</w:t>
      </w:r>
      <w:r>
        <w:rPr>
          <w:rFonts w:hint="eastAsia" w:asciiTheme="majorEastAsia" w:hAnsiTheme="majorEastAsia" w:eastAsiaTheme="majorEastAsia" w:cstheme="majorEastAsia"/>
          <w:sz w:val="24"/>
          <w:szCs w:val="24"/>
        </w:rPr>
        <w:t>》，共计</w:t>
      </w:r>
      <w:r>
        <w:rPr>
          <w:rFonts w:hint="eastAsia" w:asciiTheme="majorEastAsia" w:hAnsiTheme="majorEastAsia" w:eastAsiaTheme="majorEastAsia" w:cstheme="majorEastAsia"/>
          <w:color w:val="000000" w:themeColor="text1"/>
          <w:sz w:val="24"/>
          <w:szCs w:val="24"/>
          <w14:textFill>
            <w14:solidFill>
              <w14:schemeClr w14:val="tx1"/>
            </w14:solidFill>
          </w14:textFill>
        </w:rPr>
        <w:t>：泊位数量</w:t>
      </w:r>
      <w:r>
        <w:rPr>
          <w:rFonts w:hint="eastAsia" w:asciiTheme="majorEastAsia" w:hAnsiTheme="majorEastAsia" w:eastAsiaTheme="majorEastAsia" w:cstheme="majorEastAsia"/>
          <w:b/>
          <w:bCs/>
          <w:color w:val="000000" w:themeColor="text1"/>
          <w:sz w:val="24"/>
          <w:szCs w:val="24"/>
          <w:u w:val="single"/>
          <w:lang w:val="en-US" w:eastAsia="zh-CN"/>
          <w14:textFill>
            <w14:solidFill>
              <w14:schemeClr w14:val="tx1"/>
            </w14:solidFill>
          </w14:textFill>
        </w:rPr>
        <w:t>1597</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个</w:t>
      </w:r>
      <w:r>
        <w:rPr>
          <w:rFonts w:hint="eastAsia" w:asciiTheme="majorEastAsia" w:hAnsiTheme="majorEastAsia" w:eastAsiaTheme="majorEastAsia" w:cstheme="majorEastAsia"/>
          <w:color w:val="000000" w:themeColor="text1"/>
          <w:sz w:val="24"/>
          <w:szCs w:val="24"/>
          <w14:textFill>
            <w14:solidFill>
              <w14:schemeClr w14:val="tx1"/>
            </w14:solidFill>
          </w14:textFill>
        </w:rPr>
        <w:t>，充电桩数量</w:t>
      </w:r>
      <w:r>
        <w:rPr>
          <w:rFonts w:hint="eastAsia" w:asciiTheme="majorEastAsia" w:hAnsiTheme="majorEastAsia" w:eastAsiaTheme="majorEastAsia" w:cstheme="majorEastAsia"/>
          <w:b/>
          <w:bCs/>
          <w:color w:val="000000" w:themeColor="text1"/>
          <w:sz w:val="24"/>
          <w:szCs w:val="24"/>
          <w:u w:val="single"/>
          <w:lang w:val="en-US" w:eastAsia="zh-CN"/>
          <w14:textFill>
            <w14:solidFill>
              <w14:schemeClr w14:val="tx1"/>
            </w14:solidFill>
          </w14:textFill>
        </w:rPr>
        <w:t>119</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个</w:t>
      </w:r>
      <w:r>
        <w:rPr>
          <w:rFonts w:hint="eastAsia" w:asciiTheme="majorEastAsia" w:hAnsiTheme="majorEastAsia" w:eastAsiaTheme="majorEastAsia" w:cstheme="majorEastAsia"/>
          <w:color w:val="000000" w:themeColor="text1"/>
          <w:sz w:val="24"/>
          <w:szCs w:val="24"/>
          <w14:textFill>
            <w14:solidFill>
              <w14:schemeClr w14:val="tx1"/>
            </w14:solidFill>
          </w14:textFill>
        </w:rPr>
        <w:t>，其中充电桩目前仍处于规划待建阶段，暂未投入使用，需</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乙方</w:t>
      </w:r>
      <w:r>
        <w:rPr>
          <w:rFonts w:asciiTheme="majorEastAsia" w:hAnsiTheme="majorEastAsia" w:eastAsiaTheme="majorEastAsia" w:cstheme="majorEastAsia"/>
          <w:color w:val="000000" w:themeColor="text1"/>
          <w:sz w:val="24"/>
          <w:szCs w:val="24"/>
          <w:u w:val="single"/>
          <w14:textFill>
            <w14:solidFill>
              <w14:schemeClr w14:val="tx1"/>
            </w14:solidFill>
          </w14:textFill>
        </w:rPr>
        <w:t>根据甲方</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的提升改造计划</w:t>
      </w:r>
      <w:r>
        <w:rPr>
          <w:rFonts w:hint="eastAsia" w:asciiTheme="majorEastAsia" w:hAnsiTheme="majorEastAsia" w:eastAsiaTheme="majorEastAsia" w:cstheme="majorEastAsia"/>
          <w:color w:val="000000" w:themeColor="text1"/>
          <w:sz w:val="24"/>
          <w:szCs w:val="24"/>
          <w14:textFill>
            <w14:solidFill>
              <w14:schemeClr w14:val="tx1"/>
            </w14:solidFill>
          </w14:textFill>
        </w:rPr>
        <w:t>自筹自建。公共停车位数量随国家政策变化和城市管理需要实行动态调整，保持停车位总量不变，停车位路段、位置和数量以甲方的书面文件调整为准。（以下对上述</w:t>
      </w:r>
      <w:r>
        <w:rPr>
          <w:rFonts w:hint="eastAsia" w:asciiTheme="majorEastAsia" w:hAnsiTheme="majorEastAsia" w:eastAsiaTheme="majorEastAsia" w:cstheme="majorEastAsia"/>
          <w:sz w:val="24"/>
          <w:szCs w:val="24"/>
        </w:rPr>
        <w:t>场地简称“该场地”）</w:t>
      </w:r>
    </w:p>
    <w:p>
      <w:pPr>
        <w:numPr>
          <w:ilvl w:val="0"/>
          <w:numId w:val="2"/>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甲方愿意将该场地的经营权转让给乙方。根据甲方</w:t>
      </w:r>
      <w:r>
        <w:rPr>
          <w:rFonts w:hint="eastAsia" w:asciiTheme="majorEastAsia" w:hAnsiTheme="majorEastAsia" w:eastAsiaTheme="majorEastAsia" w:cstheme="majorEastAsia"/>
          <w:sz w:val="24"/>
          <w:szCs w:val="24"/>
          <w:lang w:val="en-US" w:eastAsia="zh-CN"/>
        </w:rPr>
        <w:t>提供</w:t>
      </w:r>
      <w:r>
        <w:rPr>
          <w:rFonts w:hint="eastAsia" w:asciiTheme="majorEastAsia" w:hAnsiTheme="majorEastAsia" w:eastAsiaTheme="majorEastAsia" w:cstheme="majorEastAsia"/>
          <w:sz w:val="24"/>
          <w:szCs w:val="24"/>
        </w:rPr>
        <w:t>的</w:t>
      </w:r>
      <w:r>
        <w:rPr>
          <w:rFonts w:hint="eastAsia" w:asciiTheme="majorEastAsia" w:hAnsiTheme="majorEastAsia" w:eastAsiaTheme="majorEastAsia" w:cstheme="majorEastAsia"/>
          <w:color w:val="000000" w:themeColor="text1"/>
          <w:sz w:val="24"/>
          <w:szCs w:val="24"/>
          <w14:textFill>
            <w14:solidFill>
              <w14:schemeClr w14:val="tx1"/>
            </w14:solidFill>
          </w14:textFill>
        </w:rPr>
        <w:t>滨江区财政局</w:t>
      </w:r>
      <w:r>
        <w:rPr>
          <w:rFonts w:hint="eastAsia" w:asciiTheme="majorEastAsia" w:hAnsiTheme="majorEastAsia" w:eastAsiaTheme="majorEastAsia" w:cstheme="majorEastAsia"/>
          <w:sz w:val="24"/>
          <w:szCs w:val="24"/>
        </w:rPr>
        <w:t>《关于划转滨江区范围内公共停车场和道路停车泊位经营权的通知》，甲方持有该场地的经营权，经营权期限从2023年</w:t>
      </w:r>
      <w:r>
        <w:rPr>
          <w:rFonts w:hint="eastAsia" w:asciiTheme="majorEastAsia" w:hAnsiTheme="majorEastAsia" w:eastAsiaTheme="majorEastAsia" w:cstheme="majorEastAsia"/>
          <w:sz w:val="24"/>
          <w:szCs w:val="24"/>
          <w:u w:val="single"/>
        </w:rPr>
        <w:t>10</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u w:val="single"/>
        </w:rPr>
        <w:t>1</w:t>
      </w:r>
      <w:r>
        <w:rPr>
          <w:rFonts w:hint="eastAsia" w:asciiTheme="majorEastAsia" w:hAnsiTheme="majorEastAsia" w:eastAsiaTheme="majorEastAsia" w:cstheme="majorEastAsia"/>
          <w:sz w:val="24"/>
          <w:szCs w:val="24"/>
        </w:rPr>
        <w:t>日至2043年</w:t>
      </w:r>
      <w:r>
        <w:rPr>
          <w:rFonts w:hint="eastAsia" w:asciiTheme="majorEastAsia" w:hAnsiTheme="majorEastAsia" w:eastAsiaTheme="majorEastAsia" w:cstheme="majorEastAsia"/>
          <w:sz w:val="24"/>
          <w:szCs w:val="24"/>
          <w:u w:val="single"/>
        </w:rPr>
        <w:t>9</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u w:val="single"/>
        </w:rPr>
        <w:t>30</w:t>
      </w:r>
      <w:r>
        <w:rPr>
          <w:rFonts w:hint="eastAsia" w:asciiTheme="majorEastAsia" w:hAnsiTheme="majorEastAsia" w:eastAsiaTheme="majorEastAsia" w:cstheme="majorEastAsia"/>
          <w:sz w:val="24"/>
          <w:szCs w:val="24"/>
        </w:rPr>
        <w:t>日（若未在前述约定的经营权起始期限完成场地交付的，经营权期限不顺延，2043年9月30日到期</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pPr>
        <w:numPr>
          <w:ilvl w:val="0"/>
          <w:numId w:val="2"/>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乙方对甲方转让经营权涉及的停车泊位</w:t>
      </w:r>
      <w:r>
        <w:rPr>
          <w:rFonts w:hint="eastAsia" w:asciiTheme="majorEastAsia" w:hAnsiTheme="majorEastAsia" w:eastAsiaTheme="majorEastAsia" w:cstheme="majorEastAsia"/>
          <w:sz w:val="24"/>
          <w:szCs w:val="24"/>
          <w:lang w:eastAsia="zh-Hans"/>
        </w:rPr>
        <w:t>现状</w:t>
      </w:r>
      <w:r>
        <w:rPr>
          <w:rFonts w:hint="eastAsia" w:asciiTheme="majorEastAsia" w:hAnsiTheme="majorEastAsia" w:eastAsiaTheme="majorEastAsia" w:cstheme="majorEastAsia"/>
          <w:sz w:val="24"/>
          <w:szCs w:val="24"/>
        </w:rPr>
        <w:t>已做了充分了解，愿意接受经营权。</w:t>
      </w:r>
    </w:p>
    <w:p>
      <w:pPr>
        <w:numPr>
          <w:ilvl w:val="0"/>
          <w:numId w:val="2"/>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停车</w:t>
      </w:r>
      <w:r>
        <w:rPr>
          <w:rFonts w:hint="eastAsia" w:asciiTheme="majorEastAsia" w:hAnsiTheme="majorEastAsia" w:eastAsiaTheme="majorEastAsia" w:cstheme="majorEastAsia"/>
          <w:color w:val="000000" w:themeColor="text1"/>
          <w:sz w:val="24"/>
          <w:szCs w:val="24"/>
          <w14:textFill>
            <w14:solidFill>
              <w14:schemeClr w14:val="tx1"/>
            </w14:solidFill>
          </w14:textFill>
        </w:rPr>
        <w:t>场地现状、位置、建筑面积、四至范围及水</w:t>
      </w:r>
      <w:r>
        <w:rPr>
          <w:rFonts w:hint="eastAsia" w:asciiTheme="majorEastAsia" w:hAnsiTheme="majorEastAsia" w:eastAsiaTheme="majorEastAsia" w:cstheme="majorEastAsia"/>
          <w:sz w:val="24"/>
          <w:szCs w:val="24"/>
        </w:rPr>
        <w:t>、电容量均以现场展示为准，涉及设施设备的，规格型号、具体位置等以移交时现场实际为准。</w:t>
      </w:r>
    </w:p>
    <w:p>
      <w:pPr>
        <w:numPr>
          <w:ilvl w:val="0"/>
          <w:numId w:val="2"/>
        </w:numPr>
        <w:adjustRightInd w:val="0"/>
        <w:snapToGrid w:val="0"/>
        <w:spacing w:line="560" w:lineRule="exact"/>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sz w:val="24"/>
          <w:szCs w:val="24"/>
        </w:rPr>
        <w:t>经乙方对受</w:t>
      </w:r>
      <w:r>
        <w:rPr>
          <w:rFonts w:hint="eastAsia" w:asciiTheme="majorEastAsia" w:hAnsiTheme="majorEastAsia" w:eastAsiaTheme="majorEastAsia" w:cstheme="majorEastAsia"/>
          <w:color w:val="000000" w:themeColor="text1"/>
          <w:sz w:val="24"/>
          <w:szCs w:val="24"/>
          <w14:textFill>
            <w14:solidFill>
              <w14:schemeClr w14:val="tx1"/>
            </w14:solidFill>
          </w14:textFill>
        </w:rPr>
        <w:t>让该场地和附属设施设备现场查看核实，符合出让条件和承让要求。</w:t>
      </w:r>
    </w:p>
    <w:p>
      <w:pPr>
        <w:numPr>
          <w:ilvl w:val="0"/>
          <w:numId w:val="1"/>
        </w:numPr>
        <w:adjustRightInd w:val="0"/>
        <w:snapToGrid w:val="0"/>
        <w:spacing w:before="156" w:beforeLines="50" w:after="156" w:afterLines="50" w:line="560" w:lineRule="exac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停车场地经营权用途</w:t>
      </w:r>
    </w:p>
    <w:p>
      <w:pPr>
        <w:numPr>
          <w:ilvl w:val="0"/>
          <w:numId w:val="3"/>
        </w:numPr>
        <w:adjustRightInd w:val="0"/>
        <w:snapToGrid w:val="0"/>
        <w:spacing w:line="560" w:lineRule="exact"/>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该场地用途仅用于：公共停车场地泊位运营（机动车停放、充电(服务)）</w:t>
      </w:r>
    </w:p>
    <w:p>
      <w:pPr>
        <w:numPr>
          <w:ilvl w:val="0"/>
          <w:numId w:val="3"/>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乙方应按照本合同约定的用途使用场地。乙方不得从事易燃易爆物品的商业活动，不得用作危化品的储存，并遵守国家和</w:t>
      </w:r>
      <w:r>
        <w:rPr>
          <w:rFonts w:asciiTheme="majorEastAsia" w:hAnsiTheme="majorEastAsia" w:eastAsiaTheme="majorEastAsia" w:cstheme="majorEastAsia"/>
          <w:color w:val="000000" w:themeColor="text1"/>
          <w:sz w:val="24"/>
          <w:szCs w:val="24"/>
          <w14:textFill>
            <w14:solidFill>
              <w14:schemeClr w14:val="tx1"/>
            </w14:solidFill>
          </w14:textFill>
        </w:rPr>
        <w:t>《杭州市机动车停车场(库)建设和管理办法》，遵守</w:t>
      </w:r>
      <w:r>
        <w:rPr>
          <w:rFonts w:hint="eastAsia" w:asciiTheme="majorEastAsia" w:hAnsiTheme="majorEastAsia" w:eastAsiaTheme="majorEastAsia" w:cstheme="majorEastAsia"/>
          <w:color w:val="000000" w:themeColor="text1"/>
          <w:sz w:val="24"/>
          <w:szCs w:val="24"/>
          <w14:textFill>
            <w14:solidFill>
              <w14:schemeClr w14:val="tx1"/>
            </w14:solidFill>
          </w14:textFill>
        </w:rPr>
        <w:t>停放有关停车场使用的规定及收费标准</w:t>
      </w:r>
      <w:r>
        <w:rPr>
          <w:rFonts w:asciiTheme="majorEastAsia" w:hAnsiTheme="majorEastAsia" w:eastAsiaTheme="majorEastAsia" w:cstheme="majorEastAsia"/>
          <w:color w:val="000000" w:themeColor="text1"/>
          <w:sz w:val="24"/>
          <w:szCs w:val="24"/>
          <w14:textFill>
            <w14:solidFill>
              <w14:schemeClr w14:val="tx1"/>
            </w14:solidFill>
          </w14:textFill>
        </w:rPr>
        <w:t>等相关管理办法</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sz w:val="24"/>
          <w:szCs w:val="24"/>
        </w:rPr>
        <w:t>未经甲方允许，乙方不得擅自改变该</w:t>
      </w:r>
      <w:r>
        <w:rPr>
          <w:rFonts w:hint="eastAsia" w:asciiTheme="majorEastAsia" w:hAnsiTheme="majorEastAsia" w:eastAsiaTheme="majorEastAsia" w:cstheme="majorEastAsia"/>
          <w:color w:val="000000" w:themeColor="text1"/>
          <w:sz w:val="24"/>
          <w:szCs w:val="24"/>
          <w14:textFill>
            <w14:solidFill>
              <w14:schemeClr w14:val="tx1"/>
            </w14:solidFill>
          </w14:textFill>
        </w:rPr>
        <w:t>场地</w:t>
      </w:r>
      <w:r>
        <w:rPr>
          <w:rFonts w:hint="eastAsia" w:asciiTheme="majorEastAsia" w:hAnsiTheme="majorEastAsia" w:eastAsiaTheme="majorEastAsia" w:cstheme="majorEastAsia"/>
          <w:sz w:val="24"/>
          <w:szCs w:val="24"/>
        </w:rPr>
        <w:t>用途。</w:t>
      </w:r>
    </w:p>
    <w:p>
      <w:pPr>
        <w:numPr>
          <w:ilvl w:val="0"/>
          <w:numId w:val="1"/>
        </w:numPr>
        <w:adjustRightInd w:val="0"/>
        <w:snapToGrid w:val="0"/>
        <w:spacing w:before="156" w:beforeLines="50" w:after="156" w:afterLines="50" w:line="560" w:lineRule="exac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停车场地经营权转让期限</w:t>
      </w:r>
    </w:p>
    <w:p>
      <w:pPr>
        <w:numPr>
          <w:ilvl w:val="0"/>
          <w:numId w:val="3"/>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停车场经营权转让期限自2023年10月1日起至2043年9月30日止（若未在前述约定的经营权起始期限完成场地交付的，经营权期限不顺延，即经营权期限最晚于2043年9月30日到期）。</w:t>
      </w:r>
    </w:p>
    <w:p>
      <w:pPr>
        <w:numPr>
          <w:ilvl w:val="0"/>
          <w:numId w:val="1"/>
        </w:numPr>
        <w:adjustRightInd w:val="0"/>
        <w:snapToGrid w:val="0"/>
        <w:spacing w:before="156" w:beforeLines="50" w:after="156" w:afterLines="50" w:line="560" w:lineRule="exac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停车场地经营权转让价款</w:t>
      </w:r>
    </w:p>
    <w:p>
      <w:pPr>
        <w:adjustRightInd w:val="0"/>
        <w:snapToGrid w:val="0"/>
        <w:spacing w:line="560" w:lineRule="exact"/>
        <w:ind w:firstLine="432" w:firstLineChars="200"/>
        <w:rPr>
          <w:rFonts w:asciiTheme="majorEastAsia" w:hAnsiTheme="majorEastAsia" w:eastAsiaTheme="majorEastAsia" w:cstheme="majorEastAsia"/>
          <w:spacing w:val="-12"/>
          <w:sz w:val="24"/>
          <w:szCs w:val="24"/>
        </w:rPr>
      </w:pPr>
      <w:r>
        <w:rPr>
          <w:rFonts w:hint="eastAsia" w:asciiTheme="majorEastAsia" w:hAnsiTheme="majorEastAsia" w:eastAsiaTheme="majorEastAsia" w:cstheme="majorEastAsia"/>
          <w:spacing w:val="-12"/>
          <w:sz w:val="24"/>
          <w:szCs w:val="24"/>
        </w:rPr>
        <w:t>1.停车场地经营权转让价款总额为¥</w:t>
      </w:r>
      <w:r>
        <w:rPr>
          <w:rFonts w:hint="eastAsia" w:asciiTheme="majorEastAsia" w:hAnsiTheme="majorEastAsia" w:eastAsiaTheme="majorEastAsia" w:cstheme="majorEastAsia"/>
          <w:spacing w:val="-12"/>
          <w:sz w:val="24"/>
          <w:szCs w:val="24"/>
          <w:u w:val="single"/>
        </w:rPr>
        <w:t xml:space="preserve">    </w:t>
      </w:r>
      <w:r>
        <w:rPr>
          <w:rFonts w:hint="eastAsia" w:asciiTheme="majorEastAsia" w:hAnsiTheme="majorEastAsia" w:eastAsiaTheme="majorEastAsia" w:cstheme="majorEastAsia"/>
          <w:spacing w:val="-12"/>
          <w:sz w:val="24"/>
          <w:szCs w:val="24"/>
          <w:u w:val="single"/>
          <w:lang w:val="en-US" w:eastAsia="zh-CN"/>
        </w:rPr>
        <w:t xml:space="preserve">  </w:t>
      </w:r>
      <w:r>
        <w:rPr>
          <w:rFonts w:hint="eastAsia" w:asciiTheme="majorEastAsia" w:hAnsiTheme="majorEastAsia" w:eastAsiaTheme="majorEastAsia" w:cstheme="majorEastAsia"/>
          <w:spacing w:val="-12"/>
          <w:sz w:val="24"/>
          <w:szCs w:val="24"/>
          <w:u w:val="single"/>
        </w:rPr>
        <w:t xml:space="preserve">  </w:t>
      </w:r>
      <w:r>
        <w:rPr>
          <w:rFonts w:hint="eastAsia" w:asciiTheme="majorEastAsia" w:hAnsiTheme="majorEastAsia" w:eastAsiaTheme="majorEastAsia" w:cstheme="majorEastAsia"/>
          <w:spacing w:val="-12"/>
          <w:sz w:val="24"/>
          <w:szCs w:val="24"/>
        </w:rPr>
        <w:t>元（大写：</w:t>
      </w:r>
      <w:r>
        <w:rPr>
          <w:rFonts w:hint="eastAsia" w:asciiTheme="majorEastAsia" w:hAnsiTheme="majorEastAsia" w:eastAsiaTheme="majorEastAsia" w:cstheme="majorEastAsia"/>
          <w:spacing w:val="-12"/>
          <w:sz w:val="24"/>
          <w:szCs w:val="24"/>
          <w:u w:val="single"/>
        </w:rPr>
        <w:t xml:space="preserve">      </w:t>
      </w:r>
      <w:r>
        <w:rPr>
          <w:rFonts w:hint="eastAsia" w:asciiTheme="majorEastAsia" w:hAnsiTheme="majorEastAsia" w:eastAsiaTheme="majorEastAsia" w:cstheme="majorEastAsia"/>
          <w:spacing w:val="-12"/>
          <w:sz w:val="24"/>
          <w:szCs w:val="24"/>
        </w:rPr>
        <w:t>元整）；</w:t>
      </w:r>
    </w:p>
    <w:p>
      <w:pPr>
        <w:spacing w:line="5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上述价款为含</w:t>
      </w:r>
      <w:r>
        <w:rPr>
          <w:rFonts w:hint="eastAsia" w:asciiTheme="majorEastAsia" w:hAnsiTheme="majorEastAsia" w:eastAsiaTheme="majorEastAsia" w:cstheme="majorEastAsia"/>
          <w:sz w:val="24"/>
          <w:szCs w:val="24"/>
          <w:lang w:val="en-US" w:eastAsia="zh-CN"/>
        </w:rPr>
        <w:t>增值</w:t>
      </w:r>
      <w:r>
        <w:rPr>
          <w:rFonts w:hint="eastAsia" w:asciiTheme="majorEastAsia" w:hAnsiTheme="majorEastAsia" w:eastAsiaTheme="majorEastAsia" w:cstheme="majorEastAsia"/>
          <w:sz w:val="24"/>
          <w:szCs w:val="24"/>
        </w:rPr>
        <w:t>税金额。</w:t>
      </w:r>
    </w:p>
    <w:p>
      <w:pPr>
        <w:pStyle w:val="17"/>
        <w:ind w:firstLine="480"/>
        <w:rPr>
          <w:rFonts w:hint="default"/>
        </w:rPr>
      </w:pPr>
      <w:r>
        <w:rPr>
          <w:rFonts w:asciiTheme="majorEastAsia" w:hAnsiTheme="majorEastAsia" w:eastAsiaTheme="majorEastAsia" w:cstheme="majorEastAsia"/>
        </w:rPr>
        <w:t>场地转让价款按“2023年10月1日至2043年9月30日”计算</w:t>
      </w:r>
      <w:r>
        <w:rPr>
          <w:rFonts w:asciiTheme="majorEastAsia" w:hAnsiTheme="majorEastAsia" w:eastAsiaTheme="majorEastAsia" w:cstheme="majorEastAsia"/>
          <w:color w:val="000000" w:themeColor="text1"/>
          <w14:textFill>
            <w14:solidFill>
              <w14:schemeClr w14:val="tx1"/>
            </w14:solidFill>
          </w14:textFill>
        </w:rPr>
        <w:t>，经营权开始计算日与实际交接日之间空档的差价由乙方承担</w:t>
      </w:r>
      <w:r>
        <w:rPr>
          <w:rFonts w:asciiTheme="majorEastAsia" w:hAnsiTheme="majorEastAsia" w:eastAsiaTheme="majorEastAsia" w:cstheme="majorEastAsia"/>
        </w:rPr>
        <w:t>。</w:t>
      </w:r>
    </w:p>
    <w:p>
      <w:pPr>
        <w:numPr>
          <w:ilvl w:val="0"/>
          <w:numId w:val="1"/>
        </w:numPr>
        <w:adjustRightInd w:val="0"/>
        <w:snapToGrid w:val="0"/>
        <w:spacing w:before="156" w:beforeLines="50" w:after="156" w:afterLines="50" w:line="560" w:lineRule="exac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履约保证金</w:t>
      </w:r>
    </w:p>
    <w:p>
      <w:pPr>
        <w:widowControl/>
        <w:numPr>
          <w:ilvl w:val="0"/>
          <w:numId w:val="4"/>
        </w:numPr>
        <w:adjustRightInd w:val="0"/>
        <w:snapToGrid w:val="0"/>
        <w:spacing w:line="56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履约保证金金额为：¥</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u w:val="single"/>
          <w:lang w:val="en-US" w:eastAsia="zh-CN"/>
        </w:rPr>
        <w:t>2</w:t>
      </w:r>
      <w:r>
        <w:rPr>
          <w:rFonts w:hint="eastAsia" w:asciiTheme="majorEastAsia" w:hAnsiTheme="majorEastAsia" w:eastAsiaTheme="majorEastAsia" w:cstheme="majorEastAsia"/>
          <w:sz w:val="24"/>
          <w:szCs w:val="24"/>
          <w:u w:val="single"/>
        </w:rPr>
        <w:t>000000</w:t>
      </w:r>
      <w:r>
        <w:rPr>
          <w:rFonts w:hint="eastAsia" w:asciiTheme="majorEastAsia" w:hAnsiTheme="majorEastAsia" w:eastAsiaTheme="majorEastAsia" w:cstheme="majorEastAsia"/>
          <w:sz w:val="24"/>
          <w:szCs w:val="24"/>
        </w:rPr>
        <w:t>元（大写：人民币</w:t>
      </w:r>
      <w:r>
        <w:rPr>
          <w:rFonts w:hint="eastAsia" w:asciiTheme="majorEastAsia" w:hAnsiTheme="majorEastAsia" w:eastAsiaTheme="majorEastAsia" w:cstheme="majorEastAsia"/>
          <w:sz w:val="24"/>
          <w:szCs w:val="24"/>
          <w:u w:val="single"/>
          <w:lang w:val="en-US" w:eastAsia="zh-CN"/>
        </w:rPr>
        <w:t>贰</w:t>
      </w:r>
      <w:r>
        <w:rPr>
          <w:rFonts w:hint="eastAsia" w:asciiTheme="majorEastAsia" w:hAnsiTheme="majorEastAsia" w:eastAsiaTheme="majorEastAsia" w:cstheme="majorEastAsia"/>
          <w:sz w:val="24"/>
          <w:szCs w:val="24"/>
          <w:u w:val="single"/>
        </w:rPr>
        <w:t>佰万</w:t>
      </w:r>
      <w:r>
        <w:rPr>
          <w:rFonts w:hint="eastAsia" w:asciiTheme="majorEastAsia" w:hAnsiTheme="majorEastAsia" w:eastAsiaTheme="majorEastAsia" w:cstheme="majorEastAsia"/>
          <w:sz w:val="24"/>
          <w:szCs w:val="24"/>
        </w:rPr>
        <w:t>元整），乙方应在本合同签订之日起10个工作日内向甲方指定账户缴纳履约保证金，作为其履行相关义务的保证。如乙方未按照本合同的约定缴纳履约保证金，甲方有权解除本合同。</w:t>
      </w:r>
    </w:p>
    <w:p>
      <w:pPr>
        <w:widowControl/>
        <w:numPr>
          <w:ilvl w:val="0"/>
          <w:numId w:val="4"/>
        </w:numPr>
        <w:adjustRightInd w:val="0"/>
        <w:snapToGrid w:val="0"/>
        <w:spacing w:line="56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乙方违反本合同约定的义务承担违约、赔偿责任时，甲方有权在履约保证金内先行扣除，如发生扣除的，甲方应及时通知乙方。本合同继续履行的，乙</w:t>
      </w:r>
      <w:r>
        <w:rPr>
          <w:rFonts w:hint="eastAsia" w:asciiTheme="majorEastAsia" w:hAnsiTheme="majorEastAsia" w:eastAsiaTheme="majorEastAsia" w:cstheme="majorEastAsia"/>
          <w:color w:val="000000" w:themeColor="text1"/>
          <w:sz w:val="24"/>
          <w:szCs w:val="24"/>
          <w14:textFill>
            <w14:solidFill>
              <w14:schemeClr w14:val="tx1"/>
            </w14:solidFill>
          </w14:textFill>
        </w:rPr>
        <w:t>方应按本合同的约定及时补充履约保证金。本合同因乙方违约而解除的，甲方有权就履约保证金不足部分继续向乙方追索违约赔偿责任。</w:t>
      </w:r>
    </w:p>
    <w:p>
      <w:pPr>
        <w:numPr>
          <w:ilvl w:val="0"/>
          <w:numId w:val="4"/>
        </w:numPr>
        <w:adjustRightInd w:val="0"/>
        <w:snapToGrid w:val="0"/>
        <w:spacing w:line="560" w:lineRule="exact"/>
        <w:ind w:firstLine="314" w:firstLineChars="131"/>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果甲方在合同期限内根据本合同的有关规定扣除履约保证金，乙方应确保在甲方扣除后的7日内，将履约保证金的数额恢复到本合同约定的数额，且应向甲方提供履约保证金己足额恢复的证据。甲方扣除履约保证金的权利不影响甲方在本合同项下的其他权利，并且不</w:t>
      </w:r>
      <w:r>
        <w:rPr>
          <w:rFonts w:hint="eastAsia" w:asciiTheme="majorEastAsia" w:hAnsiTheme="majorEastAsia" w:eastAsiaTheme="majorEastAsia" w:cstheme="majorEastAsia"/>
          <w:sz w:val="24"/>
          <w:szCs w:val="24"/>
          <w:lang w:eastAsia="zh-Hans"/>
        </w:rPr>
        <w:t>因此排除乙方应负的</w:t>
      </w:r>
      <w:r>
        <w:rPr>
          <w:rFonts w:hint="eastAsia" w:asciiTheme="majorEastAsia" w:hAnsiTheme="majorEastAsia" w:eastAsiaTheme="majorEastAsia" w:cstheme="majorEastAsia"/>
          <w:sz w:val="24"/>
          <w:szCs w:val="24"/>
        </w:rPr>
        <w:t>责任和义务。</w:t>
      </w:r>
    </w:p>
    <w:p>
      <w:pPr>
        <w:numPr>
          <w:ilvl w:val="0"/>
          <w:numId w:val="4"/>
        </w:numPr>
        <w:adjustRightInd w:val="0"/>
        <w:snapToGrid w:val="0"/>
        <w:spacing w:line="560" w:lineRule="exact"/>
        <w:ind w:firstLine="314" w:firstLineChars="131"/>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乙方未在前述期限内补足或恢复履约保证金相应金额的，甲方有权发出催告，乙方应在催告发出之日起7日内予以补足；乙方在前述期限内仍未补足的，则甲方有权扣除履约保证金或扣留</w:t>
      </w:r>
      <w:r>
        <w:rPr>
          <w:rFonts w:hint="eastAsia" w:asciiTheme="majorEastAsia" w:hAnsiTheme="majorEastAsia" w:eastAsiaTheme="majorEastAsia" w:cstheme="majorEastAsia"/>
          <w:color w:val="000000" w:themeColor="text1"/>
          <w:sz w:val="24"/>
          <w:szCs w:val="24"/>
          <w14:textFill>
            <w14:solidFill>
              <w14:schemeClr w14:val="tx1"/>
            </w14:solidFill>
          </w14:textFill>
        </w:rPr>
        <w:t>应支付的</w:t>
      </w:r>
      <w:r>
        <w:rPr>
          <w:rFonts w:asciiTheme="majorEastAsia" w:hAnsiTheme="majorEastAsia" w:eastAsiaTheme="majorEastAsia" w:cstheme="majorEastAsia"/>
          <w:color w:val="000000" w:themeColor="text1"/>
          <w:sz w:val="24"/>
          <w:szCs w:val="24"/>
          <w14:textFill>
            <w14:solidFill>
              <w14:schemeClr w14:val="tx1"/>
            </w14:solidFill>
          </w14:textFill>
        </w:rPr>
        <w:t>未补足</w:t>
      </w:r>
      <w:r>
        <w:rPr>
          <w:rFonts w:hint="eastAsia" w:asciiTheme="majorEastAsia" w:hAnsiTheme="majorEastAsia" w:eastAsiaTheme="majorEastAsia" w:cstheme="majorEastAsia"/>
          <w:color w:val="000000" w:themeColor="text1"/>
          <w:sz w:val="24"/>
          <w:szCs w:val="24"/>
          <w14:textFill>
            <w14:solidFill>
              <w14:schemeClr w14:val="tx1"/>
            </w14:solidFill>
          </w14:textFill>
        </w:rPr>
        <w:t>金额</w:t>
      </w:r>
      <w:r>
        <w:rPr>
          <w:rFonts w:hint="eastAsia" w:asciiTheme="majorEastAsia" w:hAnsiTheme="majorEastAsia" w:eastAsiaTheme="majorEastAsia" w:cstheme="majorEastAsia"/>
          <w:sz w:val="24"/>
          <w:szCs w:val="24"/>
        </w:rPr>
        <w:t>，直至乙方完全补足或恢复履约保证金金额或达到本合同约定的履约保证金最高额为止，并有权提前终止本合同。</w:t>
      </w:r>
    </w:p>
    <w:p>
      <w:pPr>
        <w:numPr>
          <w:ilvl w:val="0"/>
          <w:numId w:val="4"/>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本合同到期后，在乙方未有违反本合同、承担违约赔偿</w:t>
      </w:r>
      <w:r>
        <w:rPr>
          <w:rFonts w:hint="eastAsia" w:asciiTheme="majorEastAsia" w:hAnsiTheme="majorEastAsia" w:eastAsiaTheme="majorEastAsia" w:cstheme="majorEastAsia"/>
          <w:sz w:val="24"/>
          <w:szCs w:val="24"/>
          <w:lang w:eastAsia="zh-Hans"/>
        </w:rPr>
        <w:t>等应扣留或扣除情形的</w:t>
      </w:r>
      <w:r>
        <w:rPr>
          <w:rFonts w:hint="eastAsia" w:asciiTheme="majorEastAsia" w:hAnsiTheme="majorEastAsia" w:eastAsiaTheme="majorEastAsia" w:cstheme="majorEastAsia"/>
          <w:sz w:val="24"/>
          <w:szCs w:val="24"/>
        </w:rPr>
        <w:t>，甲方退还履约保证金（无息）至乙方账户。</w:t>
      </w:r>
    </w:p>
    <w:p>
      <w:pPr>
        <w:numPr>
          <w:ilvl w:val="0"/>
          <w:numId w:val="1"/>
        </w:numPr>
        <w:adjustRightInd w:val="0"/>
        <w:snapToGrid w:val="0"/>
        <w:spacing w:before="156" w:beforeLines="50" w:after="156" w:afterLines="50" w:line="560" w:lineRule="exac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停车场地经营权转让价款及履约保证金支付方式</w:t>
      </w:r>
    </w:p>
    <w:p>
      <w:pPr>
        <w:numPr>
          <w:ilvl w:val="0"/>
          <w:numId w:val="5"/>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双方约定，停车场地经营权转让价款按以下方式支付，先付后用。</w:t>
      </w:r>
    </w:p>
    <w:p>
      <w:pPr>
        <w:adjustRightInd w:val="0"/>
        <w:snapToGrid w:val="0"/>
        <w:spacing w:line="560" w:lineRule="exact"/>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2.乙方须自本协议签署之日起十个工作日内将停车场地经营权转让价款￥</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元、履约保证金￥</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000000.00</w:t>
      </w:r>
      <w:r>
        <w:rPr>
          <w:rFonts w:hint="eastAsia" w:asciiTheme="majorEastAsia" w:hAnsiTheme="majorEastAsia" w:eastAsiaTheme="majorEastAsia" w:cstheme="majorEastAsia"/>
          <w:color w:val="000000" w:themeColor="text1"/>
          <w:sz w:val="24"/>
          <w:szCs w:val="24"/>
          <w14:textFill>
            <w14:solidFill>
              <w14:schemeClr w14:val="tx1"/>
            </w14:solidFill>
          </w14:textFill>
        </w:rPr>
        <w:t>元，合计￥</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元（大写：</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）支付至杭州产权交易所有限责任公司指定账户（本合同签署当日，乙方交纳的交易保证金依次冲抵履约保证金和经营权转让价款）。本合同项下的停车场地经营权转让价款</w:t>
      </w:r>
      <w:r>
        <w:rPr>
          <w:rFonts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履约保证金由杭州产权交易所有限责任公司支付甲方指定账户。</w:t>
      </w:r>
    </w:p>
    <w:p>
      <w:pPr>
        <w:adjustRightInd w:val="0"/>
        <w:snapToGrid w:val="0"/>
        <w:spacing w:line="5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3.甲方收到停车场地经营权转让价款后，应向乙方出具相应的增值税专用发票；收到履约保证金后，应向乙方出具相应的收据。</w:t>
      </w:r>
    </w:p>
    <w:p>
      <w:pPr>
        <w:adjustRightInd w:val="0"/>
        <w:snapToGrid w:val="0"/>
        <w:spacing w:line="5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4.甲方的银行账户如下：</w:t>
      </w:r>
    </w:p>
    <w:p>
      <w:pPr>
        <w:adjustRightInd w:val="0"/>
        <w:snapToGrid w:val="0"/>
        <w:spacing w:line="5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账户名： </w:t>
      </w:r>
    </w:p>
    <w:p>
      <w:pPr>
        <w:adjustRightInd w:val="0"/>
        <w:snapToGrid w:val="0"/>
        <w:spacing w:line="5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银行卡号： </w:t>
      </w:r>
    </w:p>
    <w:p>
      <w:pPr>
        <w:adjustRightInd w:val="0"/>
        <w:snapToGrid w:val="0"/>
        <w:spacing w:line="5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开户银行： </w:t>
      </w:r>
    </w:p>
    <w:p>
      <w:pPr>
        <w:numPr>
          <w:ilvl w:val="0"/>
          <w:numId w:val="1"/>
        </w:numPr>
        <w:adjustRightInd w:val="0"/>
        <w:snapToGrid w:val="0"/>
        <w:spacing w:before="156" w:beforeLines="50" w:after="156" w:afterLines="50" w:line="560" w:lineRule="exac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场地交接</w:t>
      </w:r>
    </w:p>
    <w:p>
      <w:pPr>
        <w:numPr>
          <w:ilvl w:val="0"/>
          <w:numId w:val="6"/>
        </w:numPr>
        <w:adjustRightInd w:val="0"/>
        <w:snapToGrid w:val="0"/>
        <w:spacing w:line="560" w:lineRule="exact"/>
        <w:ind w:firstLine="480"/>
      </w:pPr>
      <w:r>
        <w:rPr>
          <w:rFonts w:hint="eastAsia" w:asciiTheme="majorEastAsia" w:hAnsiTheme="majorEastAsia" w:eastAsiaTheme="majorEastAsia" w:cstheme="majorEastAsia"/>
          <w:sz w:val="24"/>
          <w:szCs w:val="24"/>
        </w:rPr>
        <w:t>甲乙双方确认及同意，乙方付清经营权转让价款、履约保证金后</w:t>
      </w:r>
      <w:r>
        <w:rPr>
          <w:rFonts w:hint="eastAsia" w:asciiTheme="majorEastAsia" w:hAnsiTheme="majorEastAsia" w:eastAsiaTheme="majorEastAsia" w:cstheme="majorEastAsia"/>
          <w:color w:val="000000" w:themeColor="text1"/>
          <w:sz w:val="24"/>
          <w:szCs w:val="24"/>
          <w14:textFill>
            <w14:solidFill>
              <w14:schemeClr w14:val="tx1"/>
            </w14:solidFill>
          </w14:textFill>
        </w:rPr>
        <w:t>，甲方分批交付该场地，其中已投入使用收费的场地甲方在5个工作日内将全部转让标的移交给乙方，尚未投入使用的场地按交付场地清单中计划投入使用时间的5个工作日内全部交付，交付标</w:t>
      </w:r>
      <w:r>
        <w:rPr>
          <w:rFonts w:hint="eastAsia" w:asciiTheme="majorEastAsia" w:hAnsiTheme="majorEastAsia" w:eastAsiaTheme="majorEastAsia" w:cstheme="majorEastAsia"/>
          <w:sz w:val="24"/>
          <w:szCs w:val="24"/>
        </w:rPr>
        <w:t>准为按交付时现状交付（具体以双方交付场地时签署的交付清单为准），乙方接收场地即视为乙方确认场地及其附属设施设备处于良好可用状态。</w:t>
      </w:r>
    </w:p>
    <w:p>
      <w:pPr>
        <w:numPr>
          <w:ilvl w:val="255"/>
          <w:numId w:val="0"/>
        </w:numPr>
        <w:adjustRightInd w:val="0"/>
        <w:snapToGrid w:val="0"/>
        <w:spacing w:line="5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1.1甲乙双方同意交付场地清单如下：</w:t>
      </w:r>
    </w:p>
    <w:tbl>
      <w:tblPr>
        <w:tblStyle w:val="12"/>
        <w:tblW w:w="8460" w:type="dxa"/>
        <w:tblInd w:w="93" w:type="dxa"/>
        <w:tblLayout w:type="autofit"/>
        <w:tblCellMar>
          <w:top w:w="0" w:type="dxa"/>
          <w:left w:w="108" w:type="dxa"/>
          <w:bottom w:w="0" w:type="dxa"/>
          <w:right w:w="108" w:type="dxa"/>
        </w:tblCellMar>
      </w:tblPr>
      <w:tblGrid>
        <w:gridCol w:w="1111"/>
        <w:gridCol w:w="1111"/>
        <w:gridCol w:w="2902"/>
        <w:gridCol w:w="1128"/>
        <w:gridCol w:w="1112"/>
        <w:gridCol w:w="1096"/>
      </w:tblGrid>
      <w:tr>
        <w:tblPrEx>
          <w:tblCellMar>
            <w:top w:w="0" w:type="dxa"/>
            <w:left w:w="108" w:type="dxa"/>
            <w:bottom w:w="0" w:type="dxa"/>
            <w:right w:w="108" w:type="dxa"/>
          </w:tblCellMar>
        </w:tblPrEx>
        <w:trPr>
          <w:trHeight w:val="135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标段二</w:t>
            </w:r>
          </w:p>
        </w:tc>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停车场泊位</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沿江绿化及周边环境整治工程二期停车场1</w:t>
            </w:r>
          </w:p>
        </w:tc>
        <w:tc>
          <w:tcPr>
            <w:tcW w:w="10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已收费</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Narrow" w:hAnsi="Arial Narrow" w:eastAsia="等线" w:cs="宋体"/>
                <w:kern w:val="0"/>
                <w:sz w:val="22"/>
              </w:rPr>
            </w:pPr>
            <w:r>
              <w:rPr>
                <w:rFonts w:ascii="Arial Narrow" w:hAnsi="Arial Narrow" w:eastAsia="等线" w:cs="宋体"/>
                <w:kern w:val="0"/>
                <w:sz w:val="22"/>
              </w:rPr>
              <w:t>85</w:t>
            </w:r>
          </w:p>
        </w:tc>
        <w:tc>
          <w:tcPr>
            <w:tcW w:w="10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rPr>
            </w:pPr>
          </w:p>
          <w:p>
            <w:pPr>
              <w:widowControl/>
              <w:jc w:val="center"/>
              <w:rPr>
                <w:rFonts w:hint="eastAsia" w:ascii="宋体" w:hAnsi="宋体" w:cs="宋体"/>
                <w:kern w:val="0"/>
                <w:sz w:val="22"/>
              </w:rPr>
            </w:pPr>
          </w:p>
          <w:p>
            <w:pPr>
              <w:widowControl/>
              <w:jc w:val="center"/>
              <w:rPr>
                <w:rFonts w:hint="eastAsia" w:ascii="宋体" w:hAnsi="宋体" w:cs="宋体"/>
                <w:kern w:val="0"/>
                <w:sz w:val="22"/>
              </w:rPr>
            </w:pPr>
          </w:p>
          <w:p>
            <w:pPr>
              <w:widowControl/>
              <w:jc w:val="center"/>
              <w:rPr>
                <w:rFonts w:hint="eastAsia" w:ascii="宋体" w:hAnsi="宋体" w:cs="宋体"/>
                <w:kern w:val="0"/>
                <w:sz w:val="22"/>
              </w:rPr>
            </w:pPr>
          </w:p>
          <w:p>
            <w:pPr>
              <w:widowControl/>
              <w:jc w:val="center"/>
              <w:rPr>
                <w:rFonts w:hint="eastAsia" w:ascii="宋体" w:hAnsi="宋体" w:cs="宋体"/>
                <w:kern w:val="0"/>
                <w:sz w:val="22"/>
              </w:rPr>
            </w:pPr>
          </w:p>
          <w:p>
            <w:pPr>
              <w:widowControl/>
              <w:jc w:val="center"/>
              <w:rPr>
                <w:rFonts w:hint="eastAsia" w:ascii="宋体" w:hAnsi="宋体" w:cs="宋体"/>
                <w:kern w:val="0"/>
                <w:sz w:val="22"/>
              </w:rPr>
            </w:pPr>
          </w:p>
          <w:p>
            <w:pPr>
              <w:widowControl/>
              <w:jc w:val="center"/>
              <w:rPr>
                <w:rFonts w:ascii="宋体" w:hAnsi="宋体" w:cs="宋体"/>
                <w:kern w:val="0"/>
                <w:sz w:val="22"/>
              </w:rPr>
            </w:pPr>
            <w:r>
              <w:rPr>
                <w:rFonts w:hint="eastAsia" w:ascii="宋体" w:hAnsi="宋体" w:cs="宋体"/>
                <w:kern w:val="0"/>
                <w:sz w:val="22"/>
              </w:rPr>
              <w:t>2023年10月1日 至 2043年 9月30日</w:t>
            </w:r>
          </w:p>
        </w:tc>
      </w:tr>
      <w:tr>
        <w:tblPrEx>
          <w:tblCellMar>
            <w:top w:w="0" w:type="dxa"/>
            <w:left w:w="108" w:type="dxa"/>
            <w:bottom w:w="0" w:type="dxa"/>
            <w:right w:w="108" w:type="dxa"/>
          </w:tblCellMar>
        </w:tblPrEx>
        <w:trPr>
          <w:trHeight w:val="135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沿江绿化及周边环境整治工程二期停车场2</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已收费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Narrow" w:hAnsi="Arial Narrow" w:eastAsia="等线" w:cs="宋体"/>
                <w:kern w:val="0"/>
                <w:sz w:val="22"/>
              </w:rPr>
            </w:pPr>
            <w:r>
              <w:rPr>
                <w:rFonts w:ascii="Arial Narrow" w:hAnsi="Arial Narrow" w:eastAsia="等线" w:cs="宋体"/>
                <w:kern w:val="0"/>
                <w:sz w:val="22"/>
              </w:rPr>
              <w:t>660</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33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2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奥体P1、P2停车场</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已收费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Narrow" w:hAnsi="Arial Narrow" w:eastAsia="等线" w:cs="宋体"/>
                <w:kern w:val="0"/>
                <w:sz w:val="22"/>
              </w:rPr>
            </w:pPr>
            <w:r>
              <w:rPr>
                <w:rFonts w:ascii="Arial Narrow" w:hAnsi="Arial Narrow" w:eastAsia="等线" w:cs="宋体"/>
                <w:kern w:val="0"/>
                <w:sz w:val="22"/>
              </w:rPr>
              <w:t>96</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33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2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江一公园停车场</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已收费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Narrow" w:hAnsi="Arial Narrow" w:eastAsia="等线" w:cs="宋体"/>
                <w:kern w:val="0"/>
                <w:sz w:val="22"/>
              </w:rPr>
            </w:pPr>
            <w:r>
              <w:rPr>
                <w:rFonts w:ascii="Arial Narrow" w:hAnsi="Arial Narrow" w:eastAsia="等线" w:cs="宋体"/>
                <w:kern w:val="0"/>
                <w:sz w:val="22"/>
              </w:rPr>
              <w:t>187</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33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2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闻涛路南浦路东停车场</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已收费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Narrow" w:hAnsi="Arial Narrow" w:eastAsia="等线" w:cs="宋体"/>
                <w:kern w:val="0"/>
                <w:sz w:val="22"/>
              </w:rPr>
            </w:pPr>
            <w:r>
              <w:rPr>
                <w:rFonts w:ascii="Arial Narrow" w:hAnsi="Arial Narrow" w:eastAsia="等线" w:cs="宋体"/>
                <w:kern w:val="0"/>
                <w:sz w:val="22"/>
              </w:rPr>
              <w:t>179</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33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2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闻涛路南浦路西停车场</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已收费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Narrow" w:hAnsi="Arial Narrow" w:eastAsia="等线" w:cs="宋体"/>
                <w:kern w:val="0"/>
                <w:sz w:val="22"/>
              </w:rPr>
            </w:pPr>
            <w:r>
              <w:rPr>
                <w:rFonts w:ascii="Arial Narrow" w:hAnsi="Arial Narrow" w:eastAsia="等线" w:cs="宋体"/>
                <w:kern w:val="0"/>
                <w:sz w:val="22"/>
              </w:rPr>
              <w:t>41</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33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2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北塘河路与钟鼓巷停车场</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2024/3/1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Narrow" w:hAnsi="Arial Narrow" w:eastAsia="等线" w:cs="宋体"/>
                <w:kern w:val="0"/>
                <w:sz w:val="22"/>
              </w:rPr>
            </w:pPr>
            <w:r>
              <w:rPr>
                <w:rFonts w:ascii="Arial Narrow" w:hAnsi="Arial Narrow" w:eastAsia="等线" w:cs="宋体"/>
                <w:kern w:val="0"/>
                <w:sz w:val="22"/>
              </w:rPr>
              <w:t>17</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33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2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北塘河路与阡陌路停车场</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2024/3/1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Narrow" w:hAnsi="Arial Narrow" w:eastAsia="等线" w:cs="宋体"/>
                <w:kern w:val="0"/>
                <w:sz w:val="22"/>
              </w:rPr>
            </w:pPr>
            <w:r>
              <w:rPr>
                <w:rFonts w:ascii="Arial Narrow" w:hAnsi="Arial Narrow" w:eastAsia="等线" w:cs="宋体"/>
                <w:kern w:val="0"/>
                <w:sz w:val="22"/>
              </w:rPr>
              <w:t>46</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33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2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月明路与江虹路停车场</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已收费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Narrow" w:hAnsi="Arial Narrow" w:eastAsia="等线" w:cs="宋体"/>
                <w:kern w:val="0"/>
                <w:sz w:val="22"/>
              </w:rPr>
            </w:pPr>
            <w:r>
              <w:rPr>
                <w:rFonts w:ascii="Arial Narrow" w:hAnsi="Arial Narrow" w:eastAsia="等线" w:cs="宋体"/>
                <w:kern w:val="0"/>
                <w:sz w:val="22"/>
              </w:rPr>
              <w:t>42</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81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滨兴路与春晓路停车场</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已收费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Narrow" w:hAnsi="Arial Narrow" w:eastAsia="等线" w:cs="宋体"/>
                <w:kern w:val="0"/>
                <w:sz w:val="22"/>
              </w:rPr>
            </w:pPr>
            <w:r>
              <w:rPr>
                <w:rFonts w:ascii="Arial Narrow" w:hAnsi="Arial Narrow" w:eastAsia="等线" w:cs="宋体"/>
                <w:kern w:val="0"/>
                <w:sz w:val="22"/>
              </w:rPr>
              <w:t>49</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33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2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沿江2号停车场</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已收费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Narrow" w:hAnsi="Arial Narrow" w:eastAsia="等线" w:cs="宋体"/>
                <w:kern w:val="0"/>
                <w:sz w:val="22"/>
              </w:rPr>
            </w:pPr>
            <w:r>
              <w:rPr>
                <w:rFonts w:ascii="Arial Narrow" w:hAnsi="Arial Narrow" w:eastAsia="等线" w:cs="宋体"/>
                <w:kern w:val="0"/>
                <w:sz w:val="22"/>
              </w:rPr>
              <w:t>100</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33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2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沿江1号停车场</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已收费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Narrow" w:hAnsi="Arial Narrow" w:eastAsia="等线" w:cs="宋体"/>
                <w:kern w:val="0"/>
                <w:sz w:val="22"/>
              </w:rPr>
            </w:pPr>
            <w:r>
              <w:rPr>
                <w:rFonts w:ascii="Arial Narrow" w:hAnsi="Arial Narrow" w:eastAsia="等线" w:cs="宋体"/>
                <w:kern w:val="0"/>
                <w:sz w:val="22"/>
              </w:rPr>
              <w:t>95</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330" w:hRule="atLeast"/>
        </w:trPr>
        <w:tc>
          <w:tcPr>
            <w:tcW w:w="607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合计</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Arial Narrow" w:hAnsi="Arial Narrow" w:eastAsia="等线" w:cs="宋体"/>
                <w:kern w:val="0"/>
                <w:sz w:val="22"/>
              </w:rPr>
            </w:pPr>
            <w:r>
              <w:rPr>
                <w:rFonts w:ascii="Arial Narrow" w:hAnsi="Arial Narrow" w:eastAsia="等线" w:cs="宋体"/>
                <w:kern w:val="0"/>
                <w:sz w:val="22"/>
              </w:rPr>
              <w:t>1597</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r>
    </w:tbl>
    <w:p>
      <w:pPr>
        <w:pStyle w:val="17"/>
        <w:ind w:firstLine="0" w:firstLineChars="0"/>
        <w:rPr>
          <w:rFonts w:hint="default"/>
        </w:rPr>
      </w:pPr>
    </w:p>
    <w:p>
      <w:pPr>
        <w:widowControl/>
        <w:adjustRightInd w:val="0"/>
        <w:snapToGrid w:val="0"/>
        <w:spacing w:line="560" w:lineRule="exact"/>
        <w:ind w:firstLine="480" w:firstLineChars="200"/>
        <w:rPr>
          <w:rFonts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color w:val="000000" w:themeColor="text1"/>
          <w:sz w:val="24"/>
          <w:szCs w:val="24"/>
          <w14:textFill>
            <w14:solidFill>
              <w14:schemeClr w14:val="tx1"/>
            </w14:solidFill>
          </w14:textFill>
        </w:rPr>
        <w:t>经营权转让期间甲乙双方解除协议、提前终止合同的，或者转让期满双方不再签订转让协议的，乙方在15日内自行处理其自配的相关可移动设备、设施并清除杂物，在处理设备、清除杂物过程中，不得对甲方场地造成损害、破坏。场地内不可移动的附属设施及装修均不得拆除和破坏，无偿归甲方所有。乙方在办理场地交接手续前，应结清各项费用并自</w:t>
      </w:r>
      <w:r>
        <w:rPr>
          <w:rFonts w:hint="eastAsia" w:asciiTheme="majorEastAsia" w:hAnsiTheme="majorEastAsia" w:eastAsiaTheme="majorEastAsia" w:cstheme="majorEastAsia"/>
          <w:color w:val="000000" w:themeColor="text1"/>
          <w:sz w:val="24"/>
          <w:szCs w:val="24"/>
          <w:lang w:eastAsia="zh-Hans"/>
          <w14:textFill>
            <w14:solidFill>
              <w14:schemeClr w14:val="tx1"/>
            </w14:solidFill>
          </w14:textFill>
        </w:rPr>
        <w:t>行</w:t>
      </w:r>
      <w:r>
        <w:rPr>
          <w:rFonts w:hint="eastAsia" w:asciiTheme="majorEastAsia" w:hAnsiTheme="majorEastAsia" w:eastAsiaTheme="majorEastAsia" w:cstheme="majorEastAsia"/>
          <w:color w:val="000000" w:themeColor="text1"/>
          <w:sz w:val="24"/>
          <w:szCs w:val="24"/>
          <w14:textFill>
            <w14:solidFill>
              <w14:schemeClr w14:val="tx1"/>
            </w14:solidFill>
          </w14:textFill>
        </w:rPr>
        <w:t>前往甲方处办理交接手续。经甲方验收认可后，乙方将该场地交还给甲方，若乙方未按时交还场地或交还的场地不符合要求的，每日按照日转让价的1</w:t>
      </w:r>
      <w:r>
        <w:rPr>
          <w:rFonts w:asciiTheme="majorEastAsia" w:hAnsiTheme="majorEastAsia" w:eastAsiaTheme="majorEastAsia" w:cstheme="majorEastAsia"/>
          <w:color w:val="000000" w:themeColor="text1"/>
          <w:sz w:val="24"/>
          <w:szCs w:val="24"/>
          <w14:textFill>
            <w14:solidFill>
              <w14:schemeClr w14:val="tx1"/>
            </w14:solidFill>
          </w14:textFill>
        </w:rPr>
        <w:t>.5</w:t>
      </w:r>
      <w:r>
        <w:rPr>
          <w:rFonts w:hint="eastAsia" w:asciiTheme="majorEastAsia" w:hAnsiTheme="majorEastAsia" w:eastAsiaTheme="majorEastAsia" w:cstheme="majorEastAsia"/>
          <w:color w:val="000000" w:themeColor="text1"/>
          <w:sz w:val="24"/>
          <w:szCs w:val="24"/>
          <w14:textFill>
            <w14:solidFill>
              <w14:schemeClr w14:val="tx1"/>
            </w14:solidFill>
          </w14:textFill>
        </w:rPr>
        <w:t>倍向甲方支付违约金。</w:t>
      </w:r>
    </w:p>
    <w:p>
      <w:pPr>
        <w:widowControl/>
        <w:adjustRightInd w:val="0"/>
        <w:snapToGrid w:val="0"/>
        <w:spacing w:line="560" w:lineRule="exact"/>
        <w:ind w:firstLine="480" w:firstLineChars="200"/>
        <w:rPr>
          <w:rFonts w:asciiTheme="majorEastAsia" w:hAnsiTheme="majorEastAsia" w:eastAsiaTheme="majorEastAsia" w:cstheme="majorEastAsia"/>
          <w:sz w:val="24"/>
          <w:szCs w:val="24"/>
        </w:rPr>
      </w:pPr>
    </w:p>
    <w:p>
      <w:pPr>
        <w:numPr>
          <w:ilvl w:val="0"/>
          <w:numId w:val="1"/>
        </w:numPr>
        <w:adjustRightInd w:val="0"/>
        <w:snapToGrid w:val="0"/>
        <w:spacing w:before="156" w:beforeLines="50" w:after="156" w:afterLines="50" w:line="560" w:lineRule="exac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逾期支付停车场地经营权转让价款</w:t>
      </w:r>
    </w:p>
    <w:p>
      <w:pPr>
        <w:numPr>
          <w:ilvl w:val="0"/>
          <w:numId w:val="7"/>
        </w:numPr>
        <w:adjustRightInd w:val="0"/>
        <w:snapToGrid w:val="0"/>
        <w:spacing w:line="560" w:lineRule="exact"/>
      </w:pPr>
      <w:r>
        <w:rPr>
          <w:rFonts w:asciiTheme="majorEastAsia" w:hAnsiTheme="majorEastAsia" w:eastAsiaTheme="majorEastAsia" w:cstheme="majorEastAsia"/>
          <w:sz w:val="24"/>
          <w:szCs w:val="24"/>
        </w:rPr>
        <w:t>本合同签订后，若非甲方原因，乙方未按本合同第六条规定要求时间内支付停车场</w:t>
      </w:r>
      <w:r>
        <w:rPr>
          <w:rFonts w:hint="eastAsia" w:asciiTheme="majorEastAsia" w:hAnsiTheme="majorEastAsia" w:eastAsiaTheme="majorEastAsia" w:cstheme="majorEastAsia"/>
          <w:sz w:val="24"/>
          <w:szCs w:val="24"/>
        </w:rPr>
        <w:t>地</w:t>
      </w:r>
      <w:r>
        <w:rPr>
          <w:rFonts w:asciiTheme="majorEastAsia" w:hAnsiTheme="majorEastAsia" w:eastAsiaTheme="majorEastAsia" w:cstheme="majorEastAsia"/>
          <w:sz w:val="24"/>
          <w:szCs w:val="24"/>
        </w:rPr>
        <w:t>经营权转让价款的，</w:t>
      </w:r>
      <w:r>
        <w:rPr>
          <w:rFonts w:hint="eastAsia" w:asciiTheme="majorEastAsia" w:hAnsiTheme="majorEastAsia" w:eastAsiaTheme="majorEastAsia" w:cstheme="majorEastAsia"/>
          <w:sz w:val="24"/>
          <w:szCs w:val="24"/>
        </w:rPr>
        <w:t>除仍应及时如数补交外，甲方有权收取违约金，每逾期一天，按逾期金额的万分之三向甲方支付违约金，直至乙方付清应付费用之日为止</w:t>
      </w:r>
      <w:r>
        <w:rPr>
          <w:rFonts w:asciiTheme="majorEastAsia" w:hAnsiTheme="majorEastAsia" w:eastAsiaTheme="majorEastAsia" w:cstheme="majorEastAsia"/>
          <w:sz w:val="24"/>
          <w:szCs w:val="24"/>
        </w:rPr>
        <w:t>。</w:t>
      </w:r>
    </w:p>
    <w:p>
      <w:pPr>
        <w:numPr>
          <w:ilvl w:val="0"/>
          <w:numId w:val="7"/>
        </w:numPr>
        <w:adjustRightInd w:val="0"/>
        <w:snapToGrid w:val="0"/>
        <w:spacing w:line="560" w:lineRule="exact"/>
        <w:rPr>
          <w:rFonts w:asciiTheme="majorEastAsia" w:hAnsiTheme="majorEastAsia" w:eastAsiaTheme="majorEastAsia" w:cstheme="majorEastAsia"/>
          <w:sz w:val="24"/>
          <w:szCs w:val="24"/>
        </w:rPr>
      </w:pPr>
      <w:r>
        <w:rPr>
          <w:rFonts w:asciiTheme="majorEastAsia" w:hAnsiTheme="majorEastAsia" w:eastAsiaTheme="majorEastAsia" w:cstheme="majorEastAsia"/>
          <w:color w:val="000000" w:themeColor="text1"/>
          <w:sz w:val="24"/>
          <w:szCs w:val="24"/>
          <w14:textFill>
            <w14:solidFill>
              <w14:schemeClr w14:val="tx1"/>
            </w14:solidFill>
          </w14:textFill>
        </w:rPr>
        <w:t>本合同签订后</w:t>
      </w:r>
      <w:r>
        <w:rPr>
          <w:rFonts w:hint="eastAsia" w:asciiTheme="majorEastAsia" w:hAnsiTheme="majorEastAsia" w:eastAsiaTheme="majorEastAsia" w:cstheme="majorEastAsia"/>
          <w:color w:val="000000" w:themeColor="text1"/>
          <w:sz w:val="24"/>
          <w:szCs w:val="24"/>
          <w14:textFill>
            <w14:solidFill>
              <w14:schemeClr w14:val="tx1"/>
            </w14:solidFill>
          </w14:textFill>
        </w:rPr>
        <w:t>，若</w:t>
      </w:r>
      <w:r>
        <w:rPr>
          <w:rFonts w:hint="eastAsia" w:asciiTheme="majorEastAsia" w:hAnsiTheme="majorEastAsia" w:eastAsiaTheme="majorEastAsia" w:cstheme="majorEastAsia"/>
          <w:sz w:val="24"/>
          <w:szCs w:val="24"/>
        </w:rPr>
        <w:t>非甲方原因，乙方逾</w:t>
      </w:r>
      <w:r>
        <w:rPr>
          <w:rFonts w:hint="eastAsia" w:asciiTheme="majorEastAsia" w:hAnsiTheme="majorEastAsia" w:eastAsiaTheme="majorEastAsia" w:cstheme="majorEastAsia"/>
          <w:sz w:val="24"/>
          <w:szCs w:val="24"/>
          <w:highlight w:val="none"/>
        </w:rPr>
        <w:t>期30</w:t>
      </w:r>
      <w:r>
        <w:rPr>
          <w:rFonts w:hint="eastAsia" w:asciiTheme="majorEastAsia" w:hAnsiTheme="majorEastAsia" w:eastAsiaTheme="majorEastAsia" w:cstheme="majorEastAsia"/>
          <w:sz w:val="24"/>
          <w:szCs w:val="24"/>
        </w:rPr>
        <w:t>天仍未能缴纳停车场地经营权转让价款的，视为乙方根本违约，甲方有权单方面解除本合同，乙方因此遭受的损失均由其自行承担，且乙方已付的履约保证金不予返还。</w:t>
      </w:r>
    </w:p>
    <w:p>
      <w:pPr>
        <w:numPr>
          <w:ilvl w:val="0"/>
          <w:numId w:val="1"/>
        </w:numPr>
        <w:adjustRightInd w:val="0"/>
        <w:snapToGrid w:val="0"/>
        <w:spacing w:before="156" w:beforeLines="50" w:after="156" w:afterLines="50" w:line="560" w:lineRule="exac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甲方权利与义务</w:t>
      </w:r>
    </w:p>
    <w:p>
      <w:pPr>
        <w:numPr>
          <w:ilvl w:val="0"/>
          <w:numId w:val="8"/>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甲方有权对乙方的</w:t>
      </w:r>
      <w:r>
        <w:rPr>
          <w:rFonts w:asciiTheme="majorEastAsia" w:hAnsiTheme="majorEastAsia" w:eastAsiaTheme="majorEastAsia" w:cstheme="majorEastAsia"/>
          <w:sz w:val="24"/>
          <w:szCs w:val="24"/>
        </w:rPr>
        <w:t>停车场</w:t>
      </w:r>
      <w:r>
        <w:rPr>
          <w:rFonts w:hint="eastAsia" w:asciiTheme="majorEastAsia" w:hAnsiTheme="majorEastAsia" w:eastAsiaTheme="majorEastAsia" w:cstheme="majorEastAsia"/>
          <w:sz w:val="24"/>
          <w:szCs w:val="24"/>
        </w:rPr>
        <w:t>地经营状况进行监督，</w:t>
      </w:r>
      <w:r>
        <w:rPr>
          <w:rFonts w:hint="eastAsia" w:asciiTheme="majorEastAsia" w:hAnsiTheme="majorEastAsia" w:eastAsiaTheme="majorEastAsia" w:cstheme="majorEastAsia"/>
          <w:sz w:val="24"/>
          <w:szCs w:val="24"/>
          <w:lang w:eastAsia="zh-Hans"/>
        </w:rPr>
        <w:t>有权要求</w:t>
      </w:r>
      <w:r>
        <w:rPr>
          <w:rFonts w:hint="eastAsia" w:asciiTheme="majorEastAsia" w:hAnsiTheme="majorEastAsia" w:eastAsiaTheme="majorEastAsia" w:cstheme="majorEastAsia"/>
          <w:sz w:val="24"/>
          <w:szCs w:val="24"/>
        </w:rPr>
        <w:t>乙方</w:t>
      </w:r>
      <w:r>
        <w:rPr>
          <w:rFonts w:asciiTheme="majorEastAsia" w:hAnsiTheme="majorEastAsia" w:eastAsiaTheme="majorEastAsia" w:cstheme="majorEastAsia"/>
          <w:sz w:val="24"/>
          <w:szCs w:val="24"/>
        </w:rPr>
        <w:t>根据国家相关文件</w:t>
      </w:r>
      <w:r>
        <w:rPr>
          <w:rFonts w:hint="eastAsia" w:asciiTheme="majorEastAsia" w:hAnsiTheme="majorEastAsia" w:eastAsiaTheme="majorEastAsia" w:cstheme="majorEastAsia"/>
          <w:sz w:val="24"/>
          <w:szCs w:val="24"/>
        </w:rPr>
        <w:t>合法合规经营。</w:t>
      </w:r>
    </w:p>
    <w:p>
      <w:pPr>
        <w:numPr>
          <w:ilvl w:val="0"/>
          <w:numId w:val="8"/>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甲方保证该场地</w:t>
      </w:r>
      <w:r>
        <w:rPr>
          <w:rFonts w:hint="eastAsia" w:asciiTheme="majorEastAsia" w:hAnsiTheme="majorEastAsia" w:eastAsiaTheme="majorEastAsia" w:cstheme="majorEastAsia"/>
          <w:sz w:val="24"/>
          <w:szCs w:val="24"/>
          <w:lang w:val="en-US" w:eastAsia="zh-CN"/>
        </w:rPr>
        <w:t>经营</w:t>
      </w:r>
      <w:r>
        <w:rPr>
          <w:rFonts w:hint="eastAsia" w:asciiTheme="majorEastAsia" w:hAnsiTheme="majorEastAsia" w:eastAsiaTheme="majorEastAsia" w:cstheme="majorEastAsia"/>
          <w:sz w:val="24"/>
          <w:szCs w:val="24"/>
        </w:rPr>
        <w:t>权无争议，但甲方向乙方提供该场地的权属资料仅限于《关于划转滨江区范围内公共停车场和道路停车泊位经营权的通知》等资料，乙方必须在营业前凭上述资料办理相关审批等手续，若由于甲方提供的资料和该场地现状原因导致乙方不能通过相关审批等手续的，甲方不承担任何责任。</w:t>
      </w:r>
    </w:p>
    <w:p>
      <w:pPr>
        <w:numPr>
          <w:ilvl w:val="0"/>
          <w:numId w:val="8"/>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当该场地涉及政府征收拆迁，甲方应按照相关法律和政策给予乙方补偿。</w:t>
      </w:r>
    </w:p>
    <w:p>
      <w:pPr>
        <w:numPr>
          <w:ilvl w:val="0"/>
          <w:numId w:val="8"/>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甲方有权对场地进行消防、安全、卫生等检查，但应不妨碍乙方对于场地的正常使用。</w:t>
      </w:r>
    </w:p>
    <w:p>
      <w:pPr>
        <w:numPr>
          <w:ilvl w:val="0"/>
          <w:numId w:val="8"/>
        </w:numPr>
        <w:spacing w:line="560" w:lineRule="exact"/>
        <w:ind w:firstLine="314" w:firstLineChars="131"/>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经营期间，甲方根据相关法律法规、政策缴纳相应的税费。</w:t>
      </w:r>
    </w:p>
    <w:p>
      <w:pPr>
        <w:numPr>
          <w:ilvl w:val="0"/>
          <w:numId w:val="1"/>
        </w:numPr>
        <w:adjustRightInd w:val="0"/>
        <w:snapToGrid w:val="0"/>
        <w:spacing w:before="156" w:beforeLines="50" w:after="156" w:afterLines="50" w:line="560" w:lineRule="exac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乙方权利与义务</w:t>
      </w:r>
    </w:p>
    <w:p>
      <w:pPr>
        <w:numPr>
          <w:ilvl w:val="0"/>
          <w:numId w:val="9"/>
        </w:num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w:t>
      </w:r>
      <w:r>
        <w:rPr>
          <w:rFonts w:hint="eastAsia" w:asciiTheme="majorEastAsia" w:hAnsiTheme="majorEastAsia" w:eastAsiaTheme="majorEastAsia" w:cstheme="majorEastAsia"/>
          <w:sz w:val="24"/>
          <w:szCs w:val="24"/>
          <w:lang w:val="en-US" w:eastAsia="zh-CN"/>
        </w:rPr>
        <w:t>独自承担经营风险，</w:t>
      </w:r>
      <w:r>
        <w:rPr>
          <w:rFonts w:hint="eastAsia" w:asciiTheme="majorEastAsia" w:hAnsiTheme="majorEastAsia" w:eastAsiaTheme="majorEastAsia" w:cstheme="majorEastAsia"/>
          <w:sz w:val="24"/>
          <w:szCs w:val="24"/>
        </w:rPr>
        <w:t>在经营管理过程中应严格遵守国家相关法律法规、不得损害社会公共利益，自觉接受社会以及甲方监督。</w:t>
      </w:r>
    </w:p>
    <w:p>
      <w:pPr>
        <w:numPr>
          <w:ilvl w:val="0"/>
          <w:numId w:val="9"/>
        </w:num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乙方自行负责办理</w:t>
      </w:r>
      <w:r>
        <w:rPr>
          <w:rFonts w:hint="eastAsia" w:asciiTheme="majorEastAsia" w:hAnsiTheme="majorEastAsia" w:eastAsiaTheme="majorEastAsia" w:cstheme="majorEastAsia"/>
          <w:color w:val="000000" w:themeColor="text1"/>
          <w:sz w:val="24"/>
          <w:szCs w:val="24"/>
          <w14:textFill>
            <w14:solidFill>
              <w14:schemeClr w14:val="tx1"/>
            </w14:solidFill>
          </w14:textFill>
        </w:rPr>
        <w:t>营业执照、经营许可、收费</w:t>
      </w:r>
      <w:r>
        <w:rPr>
          <w:rFonts w:asciiTheme="majorEastAsia" w:hAnsiTheme="majorEastAsia" w:eastAsiaTheme="majorEastAsia" w:cstheme="majorEastAsia"/>
          <w:color w:val="000000" w:themeColor="text1"/>
          <w:sz w:val="24"/>
          <w:szCs w:val="24"/>
          <w14:textFill>
            <w14:solidFill>
              <w14:schemeClr w14:val="tx1"/>
            </w14:solidFill>
          </w14:textFill>
        </w:rPr>
        <w:t>许可</w:t>
      </w:r>
      <w:r>
        <w:rPr>
          <w:rFonts w:hint="eastAsia" w:asciiTheme="majorEastAsia" w:hAnsiTheme="majorEastAsia" w:eastAsiaTheme="majorEastAsia" w:cstheme="majorEastAsia"/>
          <w:color w:val="000000" w:themeColor="text1"/>
          <w:sz w:val="24"/>
          <w:szCs w:val="24"/>
          <w14:textFill>
            <w14:solidFill>
              <w14:schemeClr w14:val="tx1"/>
            </w14:solidFill>
          </w14:textFill>
        </w:rPr>
        <w:t>等相关手</w:t>
      </w:r>
      <w:r>
        <w:rPr>
          <w:rFonts w:hint="eastAsia" w:asciiTheme="majorEastAsia" w:hAnsiTheme="majorEastAsia" w:eastAsiaTheme="majorEastAsia" w:cstheme="majorEastAsia"/>
          <w:sz w:val="24"/>
          <w:szCs w:val="24"/>
        </w:rPr>
        <w:t>续和支付相关费用，甲方对乙方办理政府有关部门批准的执照、证书或许可证等手续提供必要的支持和协助。</w:t>
      </w:r>
    </w:p>
    <w:p>
      <w:pPr>
        <w:numPr>
          <w:ilvl w:val="0"/>
          <w:numId w:val="9"/>
        </w:num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次道路停车泊位《设置路内停车泊位登记证》载明的有效期限为5年，有效期期满后由乙方负责换证，甲方协助。若涉及的道路停车泊位需要重新制作/划定泊位标识标线的，由乙方按照杭州市公安局交通警察局等相关部门要求配合施工，相关费用乙方自行负责。</w:t>
      </w:r>
    </w:p>
    <w:p>
      <w:pPr>
        <w:numPr>
          <w:ilvl w:val="0"/>
          <w:numId w:val="9"/>
        </w:num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乙方在</w:t>
      </w:r>
      <w:r>
        <w:rPr>
          <w:rFonts w:hint="eastAsia" w:asciiTheme="majorEastAsia" w:hAnsiTheme="majorEastAsia" w:eastAsiaTheme="majorEastAsia" w:cstheme="majorEastAsia"/>
          <w:sz w:val="24"/>
          <w:szCs w:val="24"/>
          <w:lang w:eastAsia="zh-Hans"/>
        </w:rPr>
        <w:t>场地</w:t>
      </w:r>
      <w:r>
        <w:rPr>
          <w:rFonts w:hint="eastAsia" w:asciiTheme="majorEastAsia" w:hAnsiTheme="majorEastAsia" w:eastAsiaTheme="majorEastAsia" w:cstheme="majorEastAsia"/>
          <w:sz w:val="24"/>
          <w:szCs w:val="24"/>
        </w:rPr>
        <w:t>装修改造前，应将装修改造方案向甲方报备，并根据向甲方报备过的装修改造方案严格按照国家相关规定对</w:t>
      </w:r>
      <w:r>
        <w:rPr>
          <w:rFonts w:hint="eastAsia" w:asciiTheme="majorEastAsia" w:hAnsiTheme="majorEastAsia" w:eastAsiaTheme="majorEastAsia" w:cstheme="majorEastAsia"/>
          <w:sz w:val="24"/>
          <w:szCs w:val="24"/>
          <w:lang w:eastAsia="zh-Hans"/>
        </w:rPr>
        <w:t>场地</w:t>
      </w:r>
      <w:r>
        <w:rPr>
          <w:rFonts w:hint="eastAsia" w:asciiTheme="majorEastAsia" w:hAnsiTheme="majorEastAsia" w:eastAsiaTheme="majorEastAsia" w:cstheme="majorEastAsia"/>
          <w:sz w:val="24"/>
          <w:szCs w:val="24"/>
        </w:rPr>
        <w:t>进行施工。</w:t>
      </w:r>
      <w:r>
        <w:rPr>
          <w:rFonts w:hint="eastAsia" w:asciiTheme="majorEastAsia" w:hAnsiTheme="majorEastAsia" w:eastAsiaTheme="majorEastAsia" w:cstheme="majorEastAsia"/>
          <w:sz w:val="24"/>
          <w:szCs w:val="24"/>
          <w:lang w:eastAsia="zh-Hans"/>
        </w:rPr>
        <w:t>场地</w:t>
      </w:r>
      <w:r>
        <w:rPr>
          <w:rFonts w:hint="eastAsia" w:asciiTheme="majorEastAsia" w:hAnsiTheme="majorEastAsia" w:eastAsiaTheme="majorEastAsia" w:cstheme="majorEastAsia"/>
          <w:sz w:val="24"/>
          <w:szCs w:val="24"/>
        </w:rPr>
        <w:t>装修改造过程中产生的任何安全责任由乙方自行承担。在施工前及施工过程中，乙方自行办理住建、消防等相关部门审批手续，甲方应</w:t>
      </w:r>
      <w:r>
        <w:rPr>
          <w:rFonts w:hint="eastAsia" w:asciiTheme="majorEastAsia" w:hAnsiTheme="majorEastAsia" w:eastAsiaTheme="majorEastAsia" w:cstheme="majorEastAsia"/>
          <w:sz w:val="24"/>
          <w:szCs w:val="24"/>
          <w:lang w:eastAsia="zh-Hans"/>
        </w:rPr>
        <w:t>予以</w:t>
      </w:r>
      <w:r>
        <w:rPr>
          <w:rFonts w:hint="eastAsia" w:asciiTheme="majorEastAsia" w:hAnsiTheme="majorEastAsia" w:eastAsiaTheme="majorEastAsia" w:cstheme="majorEastAsia"/>
          <w:sz w:val="24"/>
          <w:szCs w:val="24"/>
        </w:rPr>
        <w:t>配合。</w:t>
      </w:r>
    </w:p>
    <w:p>
      <w:pPr>
        <w:numPr>
          <w:ilvl w:val="0"/>
          <w:numId w:val="9"/>
        </w:num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乙方设</w:t>
      </w:r>
      <w:r>
        <w:rPr>
          <w:rFonts w:hint="eastAsia" w:asciiTheme="majorEastAsia" w:hAnsiTheme="majorEastAsia" w:eastAsiaTheme="majorEastAsia" w:cstheme="majorEastAsia"/>
          <w:color w:val="000000" w:themeColor="text1"/>
          <w:sz w:val="24"/>
          <w:szCs w:val="24"/>
          <w14:textFill>
            <w14:solidFill>
              <w14:schemeClr w14:val="tx1"/>
            </w14:solidFill>
          </w14:textFill>
        </w:rPr>
        <w:t>立广告、</w:t>
      </w:r>
      <w:r>
        <w:rPr>
          <w:rFonts w:hint="eastAsia" w:asciiTheme="majorEastAsia" w:hAnsiTheme="majorEastAsia" w:eastAsiaTheme="majorEastAsia" w:cstheme="majorEastAsia"/>
          <w:sz w:val="24"/>
          <w:szCs w:val="24"/>
        </w:rPr>
        <w:t>标示标牌，需提前将方案向甲方报备，在征得甲方书面同意后由乙方报有关部门批准，涉及的相关费用由乙方自行承担。</w:t>
      </w:r>
    </w:p>
    <w:p>
      <w:pPr>
        <w:numPr>
          <w:ilvl w:val="0"/>
          <w:numId w:val="9"/>
        </w:num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受让场地的排水、排污应按当地政府环保部门的要求进行改造、排放。</w:t>
      </w:r>
    </w:p>
    <w:p>
      <w:pPr>
        <w:numPr>
          <w:ilvl w:val="0"/>
          <w:numId w:val="9"/>
        </w:numPr>
        <w:spacing w:line="56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乙方对该场地供电需要改建或扩容的，乙方自行申办改建和扩容的手续并承担相关费用，甲方予以协助。</w:t>
      </w:r>
    </w:p>
    <w:p>
      <w:pPr>
        <w:numPr>
          <w:ilvl w:val="0"/>
          <w:numId w:val="9"/>
        </w:num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乙方自行负责日常清洁、用水、用电、物业、弱电等物业管理并承担相应费用。因管理使用不当造成场地及其相连设备的损失和维修费用，由乙方自行承担责任并赔偿损失。</w:t>
      </w:r>
    </w:p>
    <w:p>
      <w:pPr>
        <w:numPr>
          <w:ilvl w:val="0"/>
          <w:numId w:val="9"/>
        </w:num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乙方严格按照《杭州市机动车停车场（库）建设和管理办法》及相关规定对场地进行运营、维护和管理。</w:t>
      </w:r>
    </w:p>
    <w:p>
      <w:pPr>
        <w:numPr>
          <w:ilvl w:val="0"/>
          <w:numId w:val="9"/>
        </w:num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乙方应在国家的法律、法规及相关管理规定的前提下，根据属地政府规定的停车收费等标准进行合</w:t>
      </w:r>
      <w:r>
        <w:rPr>
          <w:rFonts w:hint="eastAsia" w:asciiTheme="majorEastAsia" w:hAnsiTheme="majorEastAsia" w:eastAsiaTheme="majorEastAsia" w:cstheme="majorEastAsia"/>
          <w:color w:val="000000" w:themeColor="text1"/>
          <w:sz w:val="24"/>
          <w:szCs w:val="24"/>
          <w14:textFill>
            <w14:solidFill>
              <w14:schemeClr w14:val="tx1"/>
            </w14:solidFill>
          </w14:textFill>
        </w:rPr>
        <w:t>法合规</w:t>
      </w:r>
      <w:r>
        <w:rPr>
          <w:rFonts w:hint="eastAsia" w:asciiTheme="majorEastAsia" w:hAnsiTheme="majorEastAsia" w:eastAsiaTheme="majorEastAsia" w:cstheme="majorEastAsia"/>
          <w:sz w:val="24"/>
          <w:szCs w:val="24"/>
        </w:rPr>
        <w:t>收费，如乙方更改收费标准，应按要求自行办理收费调整的各项手续并服从甲方监督，由此产生的法律、债权、债务、投诉问题由乙方自行处理解决，与甲方无关。</w:t>
      </w:r>
    </w:p>
    <w:p>
      <w:pPr>
        <w:numPr>
          <w:ilvl w:val="0"/>
          <w:numId w:val="9"/>
        </w:num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负责场地的消防和安全工作，落实安全生产责任，确保消防等安全管理措施到位。乙方不得在场地内存放易燃、易爆等危险品，自觉执行当地有关部门规定并服从甲方监督检查。由于乙方原因而给甲方或第三人造成损失的，乙方负责赔偿并承担由此而产生的民事、行政、刑事责任。在经营期间，乙方应当根据经营标的情况确定是否购买相关保险。经营权转让期限内，乙方所有人员自身安全事故责任或对第三方引发的事故责任均由乙方自行全权负责，甲方不承担任何责任。同时甲乙双方签署《</w:t>
      </w:r>
      <w:r>
        <w:rPr>
          <w:rFonts w:asciiTheme="majorEastAsia" w:hAnsiTheme="majorEastAsia" w:eastAsiaTheme="majorEastAsia" w:cstheme="majorEastAsia"/>
          <w:sz w:val="24"/>
          <w:szCs w:val="24"/>
        </w:rPr>
        <w:t>生产</w:t>
      </w:r>
      <w:r>
        <w:rPr>
          <w:rFonts w:hint="eastAsia" w:asciiTheme="majorEastAsia" w:hAnsiTheme="majorEastAsia" w:eastAsiaTheme="majorEastAsia" w:cstheme="majorEastAsia"/>
          <w:sz w:val="24"/>
          <w:szCs w:val="24"/>
        </w:rPr>
        <w:t>安全责任书》。</w:t>
      </w:r>
    </w:p>
    <w:p>
      <w:pPr>
        <w:numPr>
          <w:ilvl w:val="0"/>
          <w:numId w:val="9"/>
        </w:num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在经营期间发布广告需经甲方同意并符合《广告法》和政府相关规定，发布前应做好相关部门审批手续。如因乙方在经营期间发布广告导致第三方索赔或行政处罚的，其责任概由乙方自行承担和负责，与甲方无涉。</w:t>
      </w:r>
    </w:p>
    <w:p>
      <w:pPr>
        <w:numPr>
          <w:ilvl w:val="0"/>
          <w:numId w:val="9"/>
        </w:num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乙方在经营期间须制定相关停车场（库）管理制度</w:t>
      </w:r>
      <w:r>
        <w:rPr>
          <w:rFonts w:hint="eastAsia" w:asciiTheme="majorEastAsia" w:hAnsiTheme="majorEastAsia" w:eastAsiaTheme="majorEastAsia" w:cstheme="majorEastAsia"/>
          <w:color w:val="000000" w:themeColor="text1"/>
          <w:sz w:val="24"/>
          <w:szCs w:val="24"/>
          <w14:textFill>
            <w14:solidFill>
              <w14:schemeClr w14:val="tx1"/>
            </w14:solidFill>
          </w14:textFill>
        </w:rPr>
        <w:t>，并报送甲方</w:t>
      </w:r>
      <w:r>
        <w:rPr>
          <w:rFonts w:hint="eastAsia" w:asciiTheme="majorEastAsia" w:hAnsiTheme="majorEastAsia" w:eastAsiaTheme="majorEastAsia" w:cstheme="majorEastAsia"/>
          <w:color w:val="FF0000"/>
          <w:sz w:val="24"/>
          <w:szCs w:val="24"/>
        </w:rPr>
        <w:t>，</w:t>
      </w:r>
      <w:r>
        <w:rPr>
          <w:rFonts w:hint="eastAsia" w:asciiTheme="majorEastAsia" w:hAnsiTheme="majorEastAsia" w:eastAsiaTheme="majorEastAsia" w:cstheme="majorEastAsia"/>
          <w:sz w:val="24"/>
          <w:szCs w:val="24"/>
        </w:rPr>
        <w:t>做好明码标价、规范管理。</w:t>
      </w:r>
    </w:p>
    <w:p>
      <w:pPr>
        <w:numPr>
          <w:ilvl w:val="0"/>
          <w:numId w:val="9"/>
        </w:num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乙方不得用本合同项下甲方的资产以任何形式对外融资或设立担保，不得以甲方名义从事任何经营活动。</w:t>
      </w:r>
    </w:p>
    <w:p>
      <w:pPr>
        <w:numPr>
          <w:ilvl w:val="0"/>
          <w:numId w:val="9"/>
        </w:num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合同期满后，乙方在经营管理中产生的债权、债务，由乙方自行处理解决，与甲方无关。</w:t>
      </w:r>
    </w:p>
    <w:p>
      <w:pPr>
        <w:numPr>
          <w:ilvl w:val="0"/>
          <w:numId w:val="9"/>
        </w:num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乙方有义务</w:t>
      </w:r>
      <w:r>
        <w:rPr>
          <w:rFonts w:hint="eastAsia" w:asciiTheme="majorEastAsia" w:hAnsiTheme="majorEastAsia" w:eastAsiaTheme="majorEastAsia" w:cstheme="majorEastAsia"/>
          <w:color w:val="000000" w:themeColor="text1"/>
          <w:sz w:val="24"/>
          <w:szCs w:val="24"/>
          <w14:textFill>
            <w14:solidFill>
              <w14:schemeClr w14:val="tx1"/>
            </w14:solidFill>
          </w14:textFill>
        </w:rPr>
        <w:t>准时支付与经营相关的各项费用（含水电费）。</w:t>
      </w:r>
    </w:p>
    <w:p>
      <w:pPr>
        <w:numPr>
          <w:ilvl w:val="0"/>
          <w:numId w:val="9"/>
        </w:num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乙方有义务保障消费者的合法权益，确保停车场（库）经营信誉。</w:t>
      </w:r>
    </w:p>
    <w:p>
      <w:pPr>
        <w:numPr>
          <w:ilvl w:val="0"/>
          <w:numId w:val="9"/>
        </w:num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乙方有义务维护经营标的场地和设备设施安全、完整。</w:t>
      </w:r>
    </w:p>
    <w:p>
      <w:pPr>
        <w:numPr>
          <w:ilvl w:val="0"/>
          <w:numId w:val="9"/>
        </w:num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乙方负责做好车辆停放和安全管理工作，因管理不善造成的经济损失由乙方自理。</w:t>
      </w:r>
    </w:p>
    <w:p>
      <w:pPr>
        <w:numPr>
          <w:ilvl w:val="0"/>
          <w:numId w:val="9"/>
        </w:num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乙方在停车位上不得堆放商品、杂物等，不得占道经营，不得有影响他人生活和经营的行为。</w:t>
      </w:r>
    </w:p>
    <w:p>
      <w:pPr>
        <w:numPr>
          <w:ilvl w:val="0"/>
          <w:numId w:val="9"/>
        </w:num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如遇政府有关部门组织的相关活动，乙方须无</w:t>
      </w:r>
      <w:r>
        <w:rPr>
          <w:rFonts w:hint="eastAsia" w:asciiTheme="majorEastAsia" w:hAnsiTheme="majorEastAsia" w:eastAsiaTheme="majorEastAsia" w:cstheme="majorEastAsia"/>
          <w:color w:val="000000" w:themeColor="text1"/>
          <w:sz w:val="24"/>
          <w:szCs w:val="24"/>
          <w14:textFill>
            <w14:solidFill>
              <w14:schemeClr w14:val="tx1"/>
            </w14:solidFill>
          </w14:textFill>
        </w:rPr>
        <w:t>条件给予支持并配</w:t>
      </w:r>
      <w:r>
        <w:rPr>
          <w:rFonts w:hint="eastAsia" w:asciiTheme="majorEastAsia" w:hAnsiTheme="majorEastAsia" w:eastAsiaTheme="majorEastAsia" w:cstheme="majorEastAsia"/>
          <w:sz w:val="24"/>
          <w:szCs w:val="24"/>
        </w:rPr>
        <w:t>合好甲方完成相关工作。</w:t>
      </w:r>
    </w:p>
    <w:p>
      <w:pPr>
        <w:numPr>
          <w:ilvl w:val="0"/>
          <w:numId w:val="9"/>
        </w:numPr>
        <w:spacing w:line="560" w:lineRule="exact"/>
      </w:pPr>
      <w:r>
        <w:rPr>
          <w:rFonts w:hint="eastAsia" w:asciiTheme="majorEastAsia" w:hAnsiTheme="majorEastAsia" w:eastAsiaTheme="majorEastAsia" w:cstheme="majorEastAsia"/>
          <w:sz w:val="24"/>
          <w:szCs w:val="24"/>
        </w:rPr>
        <w:t>经营期间，乙方根据相关法律法规、政策缴纳相应的税费。</w:t>
      </w:r>
    </w:p>
    <w:p>
      <w:pPr>
        <w:pStyle w:val="25"/>
        <w:spacing w:line="560" w:lineRule="exact"/>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乙方须自费对路内停车位进行智能化与充电桩提升改造，改造成果应在甲方收回车位经营权时随车位一并移交。如需按照市区智慧停车和充电桩基础设施相关考核要求进行停车智能化设施设备和充电桩泊位升级改造，方案报甲方审定后实施。</w:t>
      </w:r>
    </w:p>
    <w:p>
      <w:pPr>
        <w:spacing w:line="5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23.本合同履行期间,乙方应当承担所有经营管理责任包括但不限于交通意外事故、经营中造成的所有第三人人身或财产损失等，同时应当积极配合甲方的监测评估工作以及处理经营期间因停车收费或其他事项引起的投诉、纠纷、网络舆情等</w:t>
      </w:r>
    </w:p>
    <w:p>
      <w:pPr>
        <w:spacing w:line="5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24.合同期满后，乙方将路内停车位经营权无偿交还甲方，交还前必须把所有的路内停车收费设备及设施修缮完好，并妥善安置道路收费管理人员，经甲方会同有关部门验收合格。乙方应于本合同期满后10日内向甲方提请验收。</w:t>
      </w:r>
    </w:p>
    <w:p>
      <w:pPr>
        <w:pStyle w:val="17"/>
        <w:ind w:firstLine="480"/>
        <w:rPr>
          <w:rFonts w:hint="default"/>
        </w:rPr>
      </w:pPr>
    </w:p>
    <w:p>
      <w:pPr>
        <w:numPr>
          <w:ilvl w:val="0"/>
          <w:numId w:val="1"/>
        </w:numPr>
        <w:adjustRightInd w:val="0"/>
        <w:snapToGrid w:val="0"/>
        <w:spacing w:before="156" w:beforeLines="50" w:after="156" w:afterLines="50" w:line="560" w:lineRule="exac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提前终止合同约定</w:t>
      </w:r>
    </w:p>
    <w:p>
      <w:pPr>
        <w:numPr>
          <w:ilvl w:val="255"/>
          <w:numId w:val="0"/>
        </w:numPr>
        <w:adjustRightInd w:val="0"/>
        <w:snapToGrid w:val="0"/>
        <w:spacing w:line="5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1.乙方有下列情形之一的，甲方可单方面提前终止合同并收回场地，同时乙方已缴纳的履约保证金不予退还</w:t>
      </w:r>
      <w:r>
        <w:rPr>
          <w:rStyle w:val="16"/>
          <w:rFonts w:hint="eastAsia"/>
        </w:rPr>
        <w:t>，</w:t>
      </w:r>
      <w:r>
        <w:rPr>
          <w:rFonts w:hint="eastAsia" w:asciiTheme="majorEastAsia" w:hAnsiTheme="majorEastAsia" w:eastAsiaTheme="majorEastAsia" w:cstheme="majorEastAsia"/>
          <w:sz w:val="24"/>
          <w:szCs w:val="24"/>
        </w:rPr>
        <w:t>造成甲方损失的，由乙方负责赔偿：</w:t>
      </w:r>
    </w:p>
    <w:p>
      <w:pPr>
        <w:numPr>
          <w:ilvl w:val="0"/>
          <w:numId w:val="10"/>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未经甲方书面同意，将场地转</w:t>
      </w:r>
      <w:r>
        <w:rPr>
          <w:rFonts w:hint="eastAsia" w:asciiTheme="majorEastAsia" w:hAnsiTheme="majorEastAsia" w:eastAsiaTheme="majorEastAsia" w:cstheme="majorEastAsia"/>
          <w:color w:val="000000" w:themeColor="text1"/>
          <w:sz w:val="24"/>
          <w:szCs w:val="24"/>
          <w14:textFill>
            <w14:solidFill>
              <w14:schemeClr w14:val="tx1"/>
            </w14:solidFill>
          </w14:textFill>
        </w:rPr>
        <w:t>租（包括将经营权转让或部分转让、转包）</w:t>
      </w:r>
      <w:r>
        <w:rPr>
          <w:rFonts w:hint="eastAsia" w:asciiTheme="majorEastAsia" w:hAnsiTheme="majorEastAsia" w:eastAsiaTheme="majorEastAsia" w:cstheme="majorEastAsia"/>
          <w:sz w:val="24"/>
          <w:szCs w:val="24"/>
        </w:rPr>
        <w:t>、转让、转借他人或调换使用的；</w:t>
      </w:r>
    </w:p>
    <w:p>
      <w:pPr>
        <w:numPr>
          <w:ilvl w:val="0"/>
          <w:numId w:val="10"/>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未经甲方书面同意，擅自拆改或损坏标的物场地，且经甲方书面通知，在限定时间内仍未纠正并修复的；</w:t>
      </w:r>
    </w:p>
    <w:p>
      <w:pPr>
        <w:numPr>
          <w:ilvl w:val="0"/>
          <w:numId w:val="10"/>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擅自改变本合同规定的转让用途，或利用该场地进行违规收费、违法犯罪活动的；</w:t>
      </w:r>
    </w:p>
    <w:p>
      <w:pPr>
        <w:numPr>
          <w:ilvl w:val="0"/>
          <w:numId w:val="10"/>
        </w:numPr>
        <w:adjustRightInd w:val="0"/>
        <w:snapToGrid w:val="0"/>
        <w:spacing w:line="560" w:lineRule="exact"/>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sz w:val="24"/>
          <w:szCs w:val="24"/>
        </w:rPr>
        <w:t>乙方违反本合同约定，不</w:t>
      </w:r>
      <w:r>
        <w:rPr>
          <w:rFonts w:hint="eastAsia" w:asciiTheme="majorEastAsia" w:hAnsiTheme="majorEastAsia" w:eastAsiaTheme="majorEastAsia" w:cstheme="majorEastAsia"/>
          <w:color w:val="000000" w:themeColor="text1"/>
          <w:sz w:val="24"/>
          <w:szCs w:val="24"/>
          <w14:textFill>
            <w14:solidFill>
              <w14:schemeClr w14:val="tx1"/>
            </w14:solidFill>
          </w14:textFill>
        </w:rPr>
        <w:t>承担维修养护责任致使场地或附属设施设备严重损坏的；</w:t>
      </w:r>
    </w:p>
    <w:p>
      <w:pPr>
        <w:numPr>
          <w:ilvl w:val="0"/>
          <w:numId w:val="10"/>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未经甲方书面同意，乙方将场地进行装修的；</w:t>
      </w:r>
    </w:p>
    <w:p>
      <w:pPr>
        <w:numPr>
          <w:ilvl w:val="0"/>
          <w:numId w:val="10"/>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未经甲方书面同意，乙方减少或停止缴纳本合同所规定的任一项费用达30日，经催告后仍不支付的；</w:t>
      </w:r>
    </w:p>
    <w:p>
      <w:pPr>
        <w:numPr>
          <w:ilvl w:val="0"/>
          <w:numId w:val="10"/>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触犯国家法律法规，给甲方造成不良影响的；</w:t>
      </w:r>
    </w:p>
    <w:p>
      <w:pPr>
        <w:numPr>
          <w:ilvl w:val="0"/>
          <w:numId w:val="10"/>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乙方未按国家规定改造装修标的物场地导致场地被拆除的；</w:t>
      </w:r>
    </w:p>
    <w:p>
      <w:pPr>
        <w:numPr>
          <w:ilvl w:val="0"/>
          <w:numId w:val="10"/>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乙方违反本合同约定的内容，且在甲方提出后30天内未纠正的；</w:t>
      </w:r>
    </w:p>
    <w:p>
      <w:pPr>
        <w:numPr>
          <w:ilvl w:val="0"/>
          <w:numId w:val="10"/>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因乙方的原因，根据法律、法规规定允许收回该场地的其他情况。</w:t>
      </w:r>
    </w:p>
    <w:p>
      <w:pPr>
        <w:pStyle w:val="4"/>
        <w:spacing w:line="5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2.因不可抗力致使本合同不能继续履行或造成损失，甲乙双方友好协商，互不承担责任，甲方不作任何补偿。</w:t>
      </w:r>
    </w:p>
    <w:p>
      <w:pPr>
        <w:adjustRightInd w:val="0"/>
        <w:snapToGrid w:val="0"/>
        <w:spacing w:line="560" w:lineRule="exact"/>
        <w:ind w:firstLine="4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r>
        <w:rPr>
          <w:rFonts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经营期间，任何一方提出终止合同，需提前三个月书面通知对方，经双方协商后，签订终止合同书，在终止合同书签订前，本合同有效。</w:t>
      </w:r>
    </w:p>
    <w:p>
      <w:pPr>
        <w:adjustRightInd w:val="0"/>
        <w:snapToGrid w:val="0"/>
        <w:spacing w:line="560" w:lineRule="exact"/>
        <w:ind w:firstLine="4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r>
        <w:rPr>
          <w:rFonts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经营期限届满本合同自然终止，除非双方另行订立书面合同，合同不自动顺延。</w:t>
      </w:r>
    </w:p>
    <w:p>
      <w:pPr>
        <w:pStyle w:val="17"/>
        <w:ind w:firstLine="480"/>
        <w:rPr>
          <w:rFonts w:hint="default"/>
          <w:color w:val="000000" w:themeColor="text1"/>
          <w14:textFill>
            <w14:solidFill>
              <w14:schemeClr w14:val="tx1"/>
            </w14:solidFill>
          </w14:textFill>
        </w:rPr>
      </w:pPr>
      <w:r>
        <w:rPr>
          <w:rFonts w:hint="default" w:asciiTheme="majorEastAsia" w:hAnsiTheme="majorEastAsia" w:eastAsiaTheme="majorEastAsia" w:cstheme="majorEastAsia"/>
        </w:rPr>
        <w:t>5.</w:t>
      </w:r>
      <w:r>
        <w:t xml:space="preserve"> </w:t>
      </w:r>
      <w:r>
        <w:rPr>
          <w:rFonts w:asciiTheme="majorEastAsia" w:hAnsiTheme="majorEastAsia" w:eastAsiaTheme="majorEastAsia" w:cstheme="majorEastAsia"/>
        </w:rPr>
        <w:t>在经营期内</w:t>
      </w:r>
      <w:r>
        <w:rPr>
          <w:rFonts w:asciiTheme="majorEastAsia" w:hAnsiTheme="majorEastAsia" w:eastAsiaTheme="majorEastAsia" w:cstheme="majorEastAsia"/>
          <w:color w:val="000000" w:themeColor="text1"/>
          <w14:textFill>
            <w14:solidFill>
              <w14:schemeClr w14:val="tx1"/>
            </w14:solidFill>
          </w14:textFill>
        </w:rPr>
        <w:t>，</w:t>
      </w:r>
      <w:r>
        <w:rPr>
          <w:rFonts w:asciiTheme="majorEastAsia" w:hAnsiTheme="majorEastAsia" w:eastAsiaTheme="majorEastAsia" w:cstheme="majorEastAsia"/>
          <w:color w:val="000000" w:themeColor="text1"/>
          <w:u w:val="single"/>
          <w14:textFill>
            <w14:solidFill>
              <w14:schemeClr w14:val="tx1"/>
            </w14:solidFill>
          </w14:textFill>
        </w:rPr>
        <w:t>依法依约</w:t>
      </w:r>
      <w:r>
        <w:rPr>
          <w:rFonts w:asciiTheme="majorEastAsia" w:hAnsiTheme="majorEastAsia" w:eastAsiaTheme="majorEastAsia" w:cstheme="majorEastAsia"/>
          <w:color w:val="000000" w:themeColor="text1"/>
          <w14:textFill>
            <w14:solidFill>
              <w14:schemeClr w14:val="tx1"/>
            </w14:solidFill>
          </w14:textFill>
        </w:rPr>
        <w:t>提前终止合同的情况下，如需甲方退还停车场地经营权未经营部分的价款的，以经营权开始日2023年10月1日作为起始日计算实际使用时间后退回剩余价款，不足整月的按天数多退少补（日转让价=转让价款÷20年÷365天）</w:t>
      </w:r>
      <w:r>
        <w:rPr>
          <w:color w:val="000000" w:themeColor="text1"/>
          <w14:textFill>
            <w14:solidFill>
              <w14:schemeClr w14:val="tx1"/>
            </w14:solidFill>
          </w14:textFill>
        </w:rPr>
        <w:t xml:space="preserve"> </w:t>
      </w:r>
    </w:p>
    <w:p>
      <w:pPr>
        <w:numPr>
          <w:ilvl w:val="0"/>
          <w:numId w:val="1"/>
        </w:numPr>
        <w:adjustRightInd w:val="0"/>
        <w:snapToGrid w:val="0"/>
        <w:spacing w:before="156" w:beforeLines="50" w:after="156" w:afterLines="50" w:line="560" w:lineRule="exac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违约责任</w:t>
      </w:r>
    </w:p>
    <w:p>
      <w:pPr>
        <w:numPr>
          <w:ilvl w:val="0"/>
          <w:numId w:val="11"/>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甲方无正当理由，提前收回该场地的，甲方应按</w:t>
      </w:r>
      <w:r>
        <w:rPr>
          <w:rFonts w:hint="eastAsia" w:asciiTheme="majorEastAsia" w:hAnsiTheme="majorEastAsia" w:eastAsiaTheme="majorEastAsia" w:cstheme="majorEastAsia"/>
          <w:color w:val="000000" w:themeColor="text1"/>
          <w:sz w:val="24"/>
          <w:szCs w:val="24"/>
          <w14:textFill>
            <w14:solidFill>
              <w14:schemeClr w14:val="tx1"/>
            </w14:solidFill>
          </w14:textFill>
        </w:rPr>
        <w:t>日转让价*未经营天数进行计算违约金，</w:t>
      </w:r>
      <w:r>
        <w:rPr>
          <w:rFonts w:hint="eastAsia" w:asciiTheme="majorEastAsia" w:hAnsiTheme="majorEastAsia" w:eastAsiaTheme="majorEastAsia" w:cstheme="majorEastAsia"/>
          <w:sz w:val="24"/>
          <w:szCs w:val="24"/>
        </w:rPr>
        <w:t>向乙方支付，并对乙方的投入进行赔偿。</w:t>
      </w:r>
    </w:p>
    <w:p>
      <w:pPr>
        <w:numPr>
          <w:ilvl w:val="0"/>
          <w:numId w:val="11"/>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因乙方原因，造成甲方场地损坏的，由乙方负责赔偿</w:t>
      </w:r>
      <w:r>
        <w:rPr>
          <w:rFonts w:hint="eastAsia" w:asciiTheme="majorEastAsia" w:hAnsiTheme="majorEastAsia" w:eastAsiaTheme="majorEastAsia" w:cstheme="majorEastAsia"/>
          <w:sz w:val="24"/>
          <w:szCs w:val="24"/>
          <w:lang w:eastAsia="zh-Hans"/>
        </w:rPr>
        <w:t>并修复</w:t>
      </w:r>
      <w:r>
        <w:rPr>
          <w:rFonts w:hint="eastAsia" w:asciiTheme="majorEastAsia" w:hAnsiTheme="majorEastAsia" w:eastAsiaTheme="majorEastAsia" w:cstheme="majorEastAsia"/>
          <w:sz w:val="24"/>
          <w:szCs w:val="24"/>
        </w:rPr>
        <w:t>。</w:t>
      </w:r>
    </w:p>
    <w:p>
      <w:pPr>
        <w:numPr>
          <w:ilvl w:val="0"/>
          <w:numId w:val="11"/>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因乙方原因致使甲方单方面解除本合同的，乙方自行对自己的投资损益负责</w:t>
      </w:r>
      <w:r>
        <w:rPr>
          <w:rFonts w:hint="eastAsia" w:asciiTheme="majorEastAsia" w:hAnsiTheme="majorEastAsia" w:eastAsiaTheme="majorEastAsia" w:cstheme="majorEastAsia"/>
          <w:color w:val="000000" w:themeColor="text1"/>
          <w:sz w:val="24"/>
          <w:szCs w:val="24"/>
          <w14:textFill>
            <w14:solidFill>
              <w14:schemeClr w14:val="tx1"/>
            </w14:solidFill>
          </w14:textFill>
        </w:rPr>
        <w:t>。经营期间利益的损失由乙方自行承担，甲方不退。</w:t>
      </w:r>
    </w:p>
    <w:p>
      <w:pPr>
        <w:numPr>
          <w:ilvl w:val="0"/>
          <w:numId w:val="11"/>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因不可抗力引起合同解除或造成损失，双方互不承担责任，但应在上述事由发生之日起7日内，采取约定的联系方式或向对方指定地址送达有关上述事由的通知。因未及时履行该通知义务给对方造成损失的，负有通知义务的一方应当承担通知逾期到达对方期间的赔偿责任。</w:t>
      </w:r>
    </w:p>
    <w:p>
      <w:pPr>
        <w:numPr>
          <w:ilvl w:val="0"/>
          <w:numId w:val="1"/>
        </w:numPr>
        <w:adjustRightInd w:val="0"/>
        <w:snapToGrid w:val="0"/>
        <w:spacing w:before="156" w:beforeLines="50" w:after="156" w:afterLines="50" w:line="560" w:lineRule="exac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其他约定</w:t>
      </w:r>
    </w:p>
    <w:p>
      <w:pPr>
        <w:numPr>
          <w:ilvl w:val="0"/>
          <w:numId w:val="12"/>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本合同未尽事宜，由甲、乙双方另行约定，并签订补充协议。补充协议与本合同不一致的，以补充协议为准。</w:t>
      </w:r>
    </w:p>
    <w:p>
      <w:pPr>
        <w:numPr>
          <w:ilvl w:val="0"/>
          <w:numId w:val="12"/>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本合同在履行中发生争议，由双方协商解决。协商不成的，可向甲方所在地人民法院起诉。诉讼费、律师费、差旅费</w:t>
      </w:r>
      <w:r>
        <w:rPr>
          <w:rFonts w:hint="eastAsia" w:asciiTheme="majorEastAsia" w:hAnsiTheme="majorEastAsia" w:eastAsiaTheme="majorEastAsia" w:cstheme="majorEastAsia"/>
          <w:color w:val="000000" w:themeColor="text1"/>
          <w:sz w:val="24"/>
          <w:szCs w:val="24"/>
          <w14:textFill>
            <w14:solidFill>
              <w14:schemeClr w14:val="tx1"/>
            </w14:solidFill>
          </w14:textFill>
        </w:rPr>
        <w:t>等由违约方承</w:t>
      </w:r>
      <w:r>
        <w:rPr>
          <w:rFonts w:hint="eastAsia" w:asciiTheme="majorEastAsia" w:hAnsiTheme="majorEastAsia" w:eastAsiaTheme="majorEastAsia" w:cstheme="majorEastAsia"/>
          <w:sz w:val="24"/>
          <w:szCs w:val="24"/>
        </w:rPr>
        <w:t>担。</w:t>
      </w:r>
    </w:p>
    <w:p>
      <w:pPr>
        <w:numPr>
          <w:ilvl w:val="0"/>
          <w:numId w:val="12"/>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本合同一式伍份，甲乙双方各执贰份，提交一份至杭州产权交易所有限责任公司备案，均具有同等法律效力。</w:t>
      </w:r>
    </w:p>
    <w:p>
      <w:pPr>
        <w:numPr>
          <w:ilvl w:val="0"/>
          <w:numId w:val="12"/>
        </w:numPr>
        <w:adjustRightInd w:val="0"/>
        <w:snapToGrid w:val="0"/>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本合同自双方签字盖章后生效。</w:t>
      </w:r>
    </w:p>
    <w:p>
      <w:pPr>
        <w:pStyle w:val="17"/>
        <w:ind w:firstLine="480"/>
        <w:rPr>
          <w:rFonts w:hint="default" w:eastAsiaTheme="majorEastAsia"/>
        </w:rPr>
      </w:pPr>
      <w:r>
        <w:rPr>
          <w:rFonts w:asciiTheme="majorEastAsia" w:hAnsiTheme="majorEastAsia" w:eastAsiaTheme="majorEastAsia" w:cstheme="majorEastAsia"/>
        </w:rPr>
        <w:t>（以下无正文）</w:t>
      </w:r>
    </w:p>
    <w:p>
      <w:pPr>
        <w:spacing w:line="560" w:lineRule="exact"/>
        <w:rPr>
          <w:rFonts w:asciiTheme="majorEastAsia" w:hAnsiTheme="majorEastAsia" w:eastAsiaTheme="majorEastAsia" w:cstheme="majorEastAsia"/>
          <w:sz w:val="24"/>
          <w:szCs w:val="24"/>
        </w:rPr>
      </w:pPr>
    </w:p>
    <w:p>
      <w:p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（为签署页）</w:t>
      </w:r>
    </w:p>
    <w:p>
      <w:p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甲方（公章）：            </w:t>
      </w:r>
    </w:p>
    <w:p>
      <w:p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法定代表人：   </w:t>
      </w:r>
    </w:p>
    <w:p>
      <w:p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p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乙方（公章）：</w:t>
      </w:r>
    </w:p>
    <w:p>
      <w:p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p>
    <w:p>
      <w:pPr>
        <w:spacing w:line="560" w:lineRule="exact"/>
        <w:jc w:val="right"/>
        <w:rPr>
          <w:rFonts w:asciiTheme="majorEastAsia" w:hAnsiTheme="majorEastAsia" w:eastAsiaTheme="majorEastAsia" w:cstheme="majorEastAsia"/>
          <w:sz w:val="24"/>
          <w:szCs w:val="24"/>
        </w:rPr>
      </w:pPr>
    </w:p>
    <w:p>
      <w:pPr>
        <w:spacing w:line="560" w:lineRule="exact"/>
        <w:jc w:val="righ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签约日期：   年  月  日</w:t>
      </w:r>
    </w:p>
    <w:sectPr>
      <w:footerReference r:id="rId3" w:type="default"/>
      <w:pgSz w:w="11906" w:h="16838"/>
      <w:pgMar w:top="1440" w:right="1803"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37ADD"/>
    <w:multiLevelType w:val="singleLevel"/>
    <w:tmpl w:val="95D37ADD"/>
    <w:lvl w:ilvl="0" w:tentative="0">
      <w:start w:val="1"/>
      <w:numFmt w:val="decimal"/>
      <w:suff w:val="nothing"/>
      <w:lvlText w:val="%1．"/>
      <w:lvlJc w:val="left"/>
      <w:pPr>
        <w:ind w:left="0" w:firstLine="400"/>
      </w:pPr>
      <w:rPr>
        <w:rFonts w:hint="default"/>
      </w:rPr>
    </w:lvl>
  </w:abstractNum>
  <w:abstractNum w:abstractNumId="1">
    <w:nsid w:val="AC563A23"/>
    <w:multiLevelType w:val="singleLevel"/>
    <w:tmpl w:val="AC563A23"/>
    <w:lvl w:ilvl="0" w:tentative="0">
      <w:start w:val="1"/>
      <w:numFmt w:val="decimal"/>
      <w:suff w:val="nothing"/>
      <w:lvlText w:val="%1．"/>
      <w:lvlJc w:val="left"/>
      <w:pPr>
        <w:ind w:left="0" w:firstLine="400"/>
      </w:pPr>
      <w:rPr>
        <w:rFonts w:hint="default"/>
      </w:rPr>
    </w:lvl>
  </w:abstractNum>
  <w:abstractNum w:abstractNumId="2">
    <w:nsid w:val="BA4C99F2"/>
    <w:multiLevelType w:val="singleLevel"/>
    <w:tmpl w:val="BA4C99F2"/>
    <w:lvl w:ilvl="0" w:tentative="0">
      <w:start w:val="1"/>
      <w:numFmt w:val="decimal"/>
      <w:suff w:val="nothing"/>
      <w:lvlText w:val="（%1）"/>
      <w:lvlJc w:val="left"/>
      <w:pPr>
        <w:ind w:left="0" w:firstLine="403"/>
      </w:pPr>
      <w:rPr>
        <w:rFonts w:hint="default"/>
      </w:rPr>
    </w:lvl>
  </w:abstractNum>
  <w:abstractNum w:abstractNumId="3">
    <w:nsid w:val="DC751692"/>
    <w:multiLevelType w:val="singleLevel"/>
    <w:tmpl w:val="DC751692"/>
    <w:lvl w:ilvl="0" w:tentative="0">
      <w:start w:val="1"/>
      <w:numFmt w:val="decimal"/>
      <w:suff w:val="nothing"/>
      <w:lvlText w:val="%1．"/>
      <w:lvlJc w:val="left"/>
      <w:pPr>
        <w:ind w:left="230" w:firstLine="400"/>
      </w:pPr>
      <w:rPr>
        <w:rFonts w:hint="default"/>
      </w:rPr>
    </w:lvl>
  </w:abstractNum>
  <w:abstractNum w:abstractNumId="4">
    <w:nsid w:val="DC86175E"/>
    <w:multiLevelType w:val="singleLevel"/>
    <w:tmpl w:val="DC86175E"/>
    <w:lvl w:ilvl="0" w:tentative="0">
      <w:start w:val="1"/>
      <w:numFmt w:val="decimal"/>
      <w:suff w:val="nothing"/>
      <w:lvlText w:val="%1．"/>
      <w:lvlJc w:val="left"/>
      <w:pPr>
        <w:ind w:left="0" w:firstLine="400"/>
      </w:pPr>
      <w:rPr>
        <w:rFonts w:hint="default"/>
      </w:rPr>
    </w:lvl>
  </w:abstractNum>
  <w:abstractNum w:abstractNumId="5">
    <w:nsid w:val="DDEB4F03"/>
    <w:multiLevelType w:val="singleLevel"/>
    <w:tmpl w:val="DDEB4F03"/>
    <w:lvl w:ilvl="0" w:tentative="0">
      <w:start w:val="1"/>
      <w:numFmt w:val="decimal"/>
      <w:suff w:val="nothing"/>
      <w:lvlText w:val="%1．"/>
      <w:lvlJc w:val="left"/>
      <w:pPr>
        <w:ind w:left="0" w:firstLine="400"/>
      </w:pPr>
      <w:rPr>
        <w:rFonts w:hint="default"/>
      </w:rPr>
    </w:lvl>
  </w:abstractNum>
  <w:abstractNum w:abstractNumId="6">
    <w:nsid w:val="E4C7E78C"/>
    <w:multiLevelType w:val="singleLevel"/>
    <w:tmpl w:val="E4C7E78C"/>
    <w:lvl w:ilvl="0" w:tentative="0">
      <w:start w:val="1"/>
      <w:numFmt w:val="decimal"/>
      <w:suff w:val="nothing"/>
      <w:lvlText w:val="%1．"/>
      <w:lvlJc w:val="left"/>
      <w:pPr>
        <w:ind w:left="0" w:firstLine="400"/>
      </w:pPr>
      <w:rPr>
        <w:rFonts w:hint="default"/>
      </w:rPr>
    </w:lvl>
  </w:abstractNum>
  <w:abstractNum w:abstractNumId="7">
    <w:nsid w:val="F69C0B76"/>
    <w:multiLevelType w:val="singleLevel"/>
    <w:tmpl w:val="F69C0B76"/>
    <w:lvl w:ilvl="0" w:tentative="0">
      <w:start w:val="1"/>
      <w:numFmt w:val="decimal"/>
      <w:suff w:val="nothing"/>
      <w:lvlText w:val="%1．"/>
      <w:lvlJc w:val="left"/>
      <w:pPr>
        <w:ind w:left="0" w:firstLine="400"/>
      </w:pPr>
      <w:rPr>
        <w:rFonts w:hint="default"/>
      </w:rPr>
    </w:lvl>
  </w:abstractNum>
  <w:abstractNum w:abstractNumId="8">
    <w:nsid w:val="08EACEB2"/>
    <w:multiLevelType w:val="singleLevel"/>
    <w:tmpl w:val="08EACEB2"/>
    <w:lvl w:ilvl="0" w:tentative="0">
      <w:start w:val="1"/>
      <w:numFmt w:val="chineseCounting"/>
      <w:suff w:val="nothing"/>
      <w:lvlText w:val="第%1条  "/>
      <w:lvlJc w:val="left"/>
      <w:pPr>
        <w:ind w:left="0" w:firstLine="420"/>
      </w:pPr>
      <w:rPr>
        <w:rFonts w:hint="eastAsia"/>
      </w:rPr>
    </w:lvl>
  </w:abstractNum>
  <w:abstractNum w:abstractNumId="9">
    <w:nsid w:val="124A0583"/>
    <w:multiLevelType w:val="singleLevel"/>
    <w:tmpl w:val="124A0583"/>
    <w:lvl w:ilvl="0" w:tentative="0">
      <w:start w:val="1"/>
      <w:numFmt w:val="decimal"/>
      <w:suff w:val="nothing"/>
      <w:lvlText w:val="%1．"/>
      <w:lvlJc w:val="left"/>
      <w:pPr>
        <w:ind w:left="0" w:firstLine="400"/>
      </w:pPr>
      <w:rPr>
        <w:rFonts w:hint="default"/>
      </w:rPr>
    </w:lvl>
  </w:abstractNum>
  <w:abstractNum w:abstractNumId="10">
    <w:nsid w:val="282489CC"/>
    <w:multiLevelType w:val="singleLevel"/>
    <w:tmpl w:val="282489CC"/>
    <w:lvl w:ilvl="0" w:tentative="0">
      <w:start w:val="1"/>
      <w:numFmt w:val="decimal"/>
      <w:suff w:val="nothing"/>
      <w:lvlText w:val="%1、"/>
      <w:lvlJc w:val="left"/>
    </w:lvl>
  </w:abstractNum>
  <w:abstractNum w:abstractNumId="11">
    <w:nsid w:val="62B12DBD"/>
    <w:multiLevelType w:val="singleLevel"/>
    <w:tmpl w:val="62B12DBD"/>
    <w:lvl w:ilvl="0" w:tentative="0">
      <w:start w:val="1"/>
      <w:numFmt w:val="decimal"/>
      <w:suff w:val="nothing"/>
      <w:lvlText w:val="%1．"/>
      <w:lvlJc w:val="left"/>
      <w:pPr>
        <w:ind w:left="0" w:firstLine="400"/>
      </w:pPr>
      <w:rPr>
        <w:rFonts w:hint="default"/>
      </w:rPr>
    </w:lvl>
  </w:abstractNum>
  <w:num w:numId="1">
    <w:abstractNumId w:val="8"/>
  </w:num>
  <w:num w:numId="2">
    <w:abstractNumId w:val="7"/>
  </w:num>
  <w:num w:numId="3">
    <w:abstractNumId w:val="1"/>
  </w:num>
  <w:num w:numId="4">
    <w:abstractNumId w:val="4"/>
  </w:num>
  <w:num w:numId="5">
    <w:abstractNumId w:val="6"/>
  </w:num>
  <w:num w:numId="6">
    <w:abstractNumId w:val="10"/>
  </w:num>
  <w:num w:numId="7">
    <w:abstractNumId w:val="9"/>
  </w:num>
  <w:num w:numId="8">
    <w:abstractNumId w:val="5"/>
  </w:num>
  <w:num w:numId="9">
    <w:abstractNumId w:val="3"/>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3NTIwMjVhMTRhYWU4MTExN2FlMGFhNzBhNDlhMDgifQ=="/>
  </w:docVars>
  <w:rsids>
    <w:rsidRoot w:val="00172A27"/>
    <w:rsid w:val="00000C1F"/>
    <w:rsid w:val="00002EC5"/>
    <w:rsid w:val="00016E7E"/>
    <w:rsid w:val="00022BEA"/>
    <w:rsid w:val="00025E3E"/>
    <w:rsid w:val="00040EB5"/>
    <w:rsid w:val="00043294"/>
    <w:rsid w:val="000546B4"/>
    <w:rsid w:val="00064682"/>
    <w:rsid w:val="00070A2E"/>
    <w:rsid w:val="00073DB8"/>
    <w:rsid w:val="00076696"/>
    <w:rsid w:val="00076EF7"/>
    <w:rsid w:val="000900A7"/>
    <w:rsid w:val="00117EB8"/>
    <w:rsid w:val="00126FEA"/>
    <w:rsid w:val="00135FB3"/>
    <w:rsid w:val="00146564"/>
    <w:rsid w:val="00172A27"/>
    <w:rsid w:val="0019184A"/>
    <w:rsid w:val="00194C1E"/>
    <w:rsid w:val="001B54A4"/>
    <w:rsid w:val="001C302B"/>
    <w:rsid w:val="001C356A"/>
    <w:rsid w:val="001C4DDC"/>
    <w:rsid w:val="001C5068"/>
    <w:rsid w:val="001C6664"/>
    <w:rsid w:val="001F038C"/>
    <w:rsid w:val="001F51DA"/>
    <w:rsid w:val="002075DA"/>
    <w:rsid w:val="00210F96"/>
    <w:rsid w:val="00237B4D"/>
    <w:rsid w:val="00242AD4"/>
    <w:rsid w:val="002448C5"/>
    <w:rsid w:val="00245FBD"/>
    <w:rsid w:val="00250446"/>
    <w:rsid w:val="002565C6"/>
    <w:rsid w:val="00275083"/>
    <w:rsid w:val="00284512"/>
    <w:rsid w:val="0028693A"/>
    <w:rsid w:val="00287750"/>
    <w:rsid w:val="002A2CD4"/>
    <w:rsid w:val="002B5219"/>
    <w:rsid w:val="002C5297"/>
    <w:rsid w:val="002D7108"/>
    <w:rsid w:val="00300E54"/>
    <w:rsid w:val="0030357E"/>
    <w:rsid w:val="00304033"/>
    <w:rsid w:val="003052E3"/>
    <w:rsid w:val="00311F04"/>
    <w:rsid w:val="00342FA0"/>
    <w:rsid w:val="00346A14"/>
    <w:rsid w:val="003602D1"/>
    <w:rsid w:val="003611C8"/>
    <w:rsid w:val="003A7931"/>
    <w:rsid w:val="003C1101"/>
    <w:rsid w:val="003C1EEB"/>
    <w:rsid w:val="003D1C26"/>
    <w:rsid w:val="003D566D"/>
    <w:rsid w:val="003E75B4"/>
    <w:rsid w:val="003F6FA7"/>
    <w:rsid w:val="00405E36"/>
    <w:rsid w:val="004228AA"/>
    <w:rsid w:val="00424DF9"/>
    <w:rsid w:val="004419F2"/>
    <w:rsid w:val="004839E6"/>
    <w:rsid w:val="00491CB5"/>
    <w:rsid w:val="004B2367"/>
    <w:rsid w:val="004B4A46"/>
    <w:rsid w:val="004C79C3"/>
    <w:rsid w:val="004D1156"/>
    <w:rsid w:val="004D3DF1"/>
    <w:rsid w:val="004D6081"/>
    <w:rsid w:val="00504DAA"/>
    <w:rsid w:val="00507358"/>
    <w:rsid w:val="005248AA"/>
    <w:rsid w:val="0052580B"/>
    <w:rsid w:val="00530447"/>
    <w:rsid w:val="00533B11"/>
    <w:rsid w:val="00542949"/>
    <w:rsid w:val="00556EB4"/>
    <w:rsid w:val="005639E5"/>
    <w:rsid w:val="00566AA8"/>
    <w:rsid w:val="005752F2"/>
    <w:rsid w:val="00596DB5"/>
    <w:rsid w:val="005B0A05"/>
    <w:rsid w:val="005D1933"/>
    <w:rsid w:val="006136C8"/>
    <w:rsid w:val="006361AF"/>
    <w:rsid w:val="00655BB9"/>
    <w:rsid w:val="00673725"/>
    <w:rsid w:val="00692E53"/>
    <w:rsid w:val="00693EB1"/>
    <w:rsid w:val="006A02BE"/>
    <w:rsid w:val="006A4A62"/>
    <w:rsid w:val="006A5A04"/>
    <w:rsid w:val="006B15AF"/>
    <w:rsid w:val="006B2AAD"/>
    <w:rsid w:val="006E0CC4"/>
    <w:rsid w:val="006F07C2"/>
    <w:rsid w:val="006F5DAA"/>
    <w:rsid w:val="006F7A93"/>
    <w:rsid w:val="00730276"/>
    <w:rsid w:val="00744FDC"/>
    <w:rsid w:val="00781105"/>
    <w:rsid w:val="007A4CF9"/>
    <w:rsid w:val="007A5E85"/>
    <w:rsid w:val="007D20FA"/>
    <w:rsid w:val="007E12EC"/>
    <w:rsid w:val="007E4F77"/>
    <w:rsid w:val="007E7BAD"/>
    <w:rsid w:val="008006A9"/>
    <w:rsid w:val="0080794A"/>
    <w:rsid w:val="00837C00"/>
    <w:rsid w:val="00841AE7"/>
    <w:rsid w:val="008512B9"/>
    <w:rsid w:val="00893B41"/>
    <w:rsid w:val="008A158D"/>
    <w:rsid w:val="008C064D"/>
    <w:rsid w:val="008E7C36"/>
    <w:rsid w:val="009042F7"/>
    <w:rsid w:val="00912AC2"/>
    <w:rsid w:val="009153FC"/>
    <w:rsid w:val="009366D0"/>
    <w:rsid w:val="0093673C"/>
    <w:rsid w:val="009405AD"/>
    <w:rsid w:val="009475AE"/>
    <w:rsid w:val="00951655"/>
    <w:rsid w:val="00971835"/>
    <w:rsid w:val="00971FFC"/>
    <w:rsid w:val="00985364"/>
    <w:rsid w:val="0099015A"/>
    <w:rsid w:val="009A006A"/>
    <w:rsid w:val="009A6019"/>
    <w:rsid w:val="009A6CEC"/>
    <w:rsid w:val="009B587A"/>
    <w:rsid w:val="009C054B"/>
    <w:rsid w:val="009C3271"/>
    <w:rsid w:val="009C5849"/>
    <w:rsid w:val="009F3B06"/>
    <w:rsid w:val="009F6BBF"/>
    <w:rsid w:val="00A13073"/>
    <w:rsid w:val="00A1362B"/>
    <w:rsid w:val="00A21A96"/>
    <w:rsid w:val="00A23FA1"/>
    <w:rsid w:val="00A26070"/>
    <w:rsid w:val="00A26F9D"/>
    <w:rsid w:val="00A34BA2"/>
    <w:rsid w:val="00A46FB1"/>
    <w:rsid w:val="00A73C38"/>
    <w:rsid w:val="00A80A01"/>
    <w:rsid w:val="00A87F9C"/>
    <w:rsid w:val="00A96164"/>
    <w:rsid w:val="00AC2D80"/>
    <w:rsid w:val="00AC407B"/>
    <w:rsid w:val="00AD0770"/>
    <w:rsid w:val="00AD48F1"/>
    <w:rsid w:val="00AF2154"/>
    <w:rsid w:val="00AF53A7"/>
    <w:rsid w:val="00B0350E"/>
    <w:rsid w:val="00B03561"/>
    <w:rsid w:val="00B10890"/>
    <w:rsid w:val="00B15494"/>
    <w:rsid w:val="00B17B46"/>
    <w:rsid w:val="00B2776D"/>
    <w:rsid w:val="00B31635"/>
    <w:rsid w:val="00B76682"/>
    <w:rsid w:val="00B919C6"/>
    <w:rsid w:val="00B97756"/>
    <w:rsid w:val="00BB765A"/>
    <w:rsid w:val="00BB7C0B"/>
    <w:rsid w:val="00BD1D45"/>
    <w:rsid w:val="00BD6273"/>
    <w:rsid w:val="00BE789A"/>
    <w:rsid w:val="00BF1423"/>
    <w:rsid w:val="00BF3784"/>
    <w:rsid w:val="00BF405D"/>
    <w:rsid w:val="00C120D4"/>
    <w:rsid w:val="00C34014"/>
    <w:rsid w:val="00C360B8"/>
    <w:rsid w:val="00C36FD4"/>
    <w:rsid w:val="00C4343E"/>
    <w:rsid w:val="00C72405"/>
    <w:rsid w:val="00C80E1C"/>
    <w:rsid w:val="00C919FC"/>
    <w:rsid w:val="00CA7EEB"/>
    <w:rsid w:val="00CE215E"/>
    <w:rsid w:val="00D211F3"/>
    <w:rsid w:val="00D252F5"/>
    <w:rsid w:val="00D33FD9"/>
    <w:rsid w:val="00D43E4F"/>
    <w:rsid w:val="00D45D37"/>
    <w:rsid w:val="00D508D1"/>
    <w:rsid w:val="00D75DD9"/>
    <w:rsid w:val="00D90968"/>
    <w:rsid w:val="00D97B9B"/>
    <w:rsid w:val="00DA038E"/>
    <w:rsid w:val="00DB19DD"/>
    <w:rsid w:val="00DC0CDF"/>
    <w:rsid w:val="00DC1625"/>
    <w:rsid w:val="00DC59E4"/>
    <w:rsid w:val="00DC729A"/>
    <w:rsid w:val="00DD172E"/>
    <w:rsid w:val="00DD26A6"/>
    <w:rsid w:val="00DE3A1D"/>
    <w:rsid w:val="00E21432"/>
    <w:rsid w:val="00E3343D"/>
    <w:rsid w:val="00E3424E"/>
    <w:rsid w:val="00E4678B"/>
    <w:rsid w:val="00E607BE"/>
    <w:rsid w:val="00E6319D"/>
    <w:rsid w:val="00E701EF"/>
    <w:rsid w:val="00E72591"/>
    <w:rsid w:val="00E8603B"/>
    <w:rsid w:val="00E90B64"/>
    <w:rsid w:val="00EB1168"/>
    <w:rsid w:val="00EB5792"/>
    <w:rsid w:val="00EC6A19"/>
    <w:rsid w:val="00EC7700"/>
    <w:rsid w:val="00F10854"/>
    <w:rsid w:val="00F333D3"/>
    <w:rsid w:val="00F50E79"/>
    <w:rsid w:val="00F76AF0"/>
    <w:rsid w:val="00F8100B"/>
    <w:rsid w:val="00F8339E"/>
    <w:rsid w:val="00FA795A"/>
    <w:rsid w:val="00FB01D3"/>
    <w:rsid w:val="00FB1BE1"/>
    <w:rsid w:val="00FB500A"/>
    <w:rsid w:val="00FB5B99"/>
    <w:rsid w:val="00FC478F"/>
    <w:rsid w:val="0172376C"/>
    <w:rsid w:val="01D755F3"/>
    <w:rsid w:val="02765728"/>
    <w:rsid w:val="030F6088"/>
    <w:rsid w:val="033F30E0"/>
    <w:rsid w:val="03B1713F"/>
    <w:rsid w:val="04293179"/>
    <w:rsid w:val="051D64A9"/>
    <w:rsid w:val="06A53CF2"/>
    <w:rsid w:val="07AD17EB"/>
    <w:rsid w:val="087A26D7"/>
    <w:rsid w:val="09817329"/>
    <w:rsid w:val="09E436A0"/>
    <w:rsid w:val="0AE41DF2"/>
    <w:rsid w:val="0B212CCE"/>
    <w:rsid w:val="0BAF268F"/>
    <w:rsid w:val="0C8C421B"/>
    <w:rsid w:val="0CAC5D47"/>
    <w:rsid w:val="0D5154EF"/>
    <w:rsid w:val="0E6B25E0"/>
    <w:rsid w:val="0EC611E8"/>
    <w:rsid w:val="0EF533B7"/>
    <w:rsid w:val="0FFB15A9"/>
    <w:rsid w:val="11B5429E"/>
    <w:rsid w:val="13CC0485"/>
    <w:rsid w:val="13FE6B7F"/>
    <w:rsid w:val="142547E9"/>
    <w:rsid w:val="14CB3DD9"/>
    <w:rsid w:val="15655317"/>
    <w:rsid w:val="17795D6E"/>
    <w:rsid w:val="17C952CC"/>
    <w:rsid w:val="194A16B8"/>
    <w:rsid w:val="196A5534"/>
    <w:rsid w:val="1A001BD3"/>
    <w:rsid w:val="1A8A14B5"/>
    <w:rsid w:val="1A8D29A7"/>
    <w:rsid w:val="1B822355"/>
    <w:rsid w:val="1CAD33DD"/>
    <w:rsid w:val="1F070434"/>
    <w:rsid w:val="1F414056"/>
    <w:rsid w:val="1FEA42A0"/>
    <w:rsid w:val="2049630A"/>
    <w:rsid w:val="21B3430F"/>
    <w:rsid w:val="22571E8F"/>
    <w:rsid w:val="22717F4A"/>
    <w:rsid w:val="22E077F6"/>
    <w:rsid w:val="23003D61"/>
    <w:rsid w:val="25C1725E"/>
    <w:rsid w:val="28E3228E"/>
    <w:rsid w:val="297A7E50"/>
    <w:rsid w:val="29F710AF"/>
    <w:rsid w:val="2A0A05A4"/>
    <w:rsid w:val="2B035044"/>
    <w:rsid w:val="2C006F14"/>
    <w:rsid w:val="2C9B2D2A"/>
    <w:rsid w:val="2E287699"/>
    <w:rsid w:val="2ECE6548"/>
    <w:rsid w:val="2F1C1CF3"/>
    <w:rsid w:val="2F6E4BB4"/>
    <w:rsid w:val="2F794797"/>
    <w:rsid w:val="31615690"/>
    <w:rsid w:val="31CF4AB1"/>
    <w:rsid w:val="32DA370D"/>
    <w:rsid w:val="32F653FB"/>
    <w:rsid w:val="332A3D70"/>
    <w:rsid w:val="33DB7940"/>
    <w:rsid w:val="34061E7F"/>
    <w:rsid w:val="349406AA"/>
    <w:rsid w:val="37387627"/>
    <w:rsid w:val="391A2AB5"/>
    <w:rsid w:val="392900A8"/>
    <w:rsid w:val="39FB8C80"/>
    <w:rsid w:val="3A330A69"/>
    <w:rsid w:val="3A5B15D7"/>
    <w:rsid w:val="3BCD4F89"/>
    <w:rsid w:val="3C025A83"/>
    <w:rsid w:val="3CAB229A"/>
    <w:rsid w:val="3CED6733"/>
    <w:rsid w:val="3F18392A"/>
    <w:rsid w:val="40AD562A"/>
    <w:rsid w:val="42A739FD"/>
    <w:rsid w:val="434037D1"/>
    <w:rsid w:val="437C436D"/>
    <w:rsid w:val="43F67691"/>
    <w:rsid w:val="445A645C"/>
    <w:rsid w:val="45A3065A"/>
    <w:rsid w:val="470628CB"/>
    <w:rsid w:val="476039E9"/>
    <w:rsid w:val="48253622"/>
    <w:rsid w:val="48C93BB0"/>
    <w:rsid w:val="48F37504"/>
    <w:rsid w:val="4A21117F"/>
    <w:rsid w:val="4A4452BB"/>
    <w:rsid w:val="514515FE"/>
    <w:rsid w:val="51747B89"/>
    <w:rsid w:val="51C311B7"/>
    <w:rsid w:val="52471018"/>
    <w:rsid w:val="545D5AF4"/>
    <w:rsid w:val="559509EF"/>
    <w:rsid w:val="56730D23"/>
    <w:rsid w:val="56EF4AA2"/>
    <w:rsid w:val="572C060D"/>
    <w:rsid w:val="58576A7B"/>
    <w:rsid w:val="587F3F77"/>
    <w:rsid w:val="58C83E84"/>
    <w:rsid w:val="59E20F76"/>
    <w:rsid w:val="5A5E4C52"/>
    <w:rsid w:val="5A735C0E"/>
    <w:rsid w:val="5AEA3983"/>
    <w:rsid w:val="5B8A72C2"/>
    <w:rsid w:val="5DD56503"/>
    <w:rsid w:val="5E0800AD"/>
    <w:rsid w:val="5E5D6550"/>
    <w:rsid w:val="5FB8E2E4"/>
    <w:rsid w:val="602A63BF"/>
    <w:rsid w:val="602F1FA6"/>
    <w:rsid w:val="610E11C8"/>
    <w:rsid w:val="613E1611"/>
    <w:rsid w:val="61EB2DF6"/>
    <w:rsid w:val="61EC7869"/>
    <w:rsid w:val="61F35F27"/>
    <w:rsid w:val="62CF63E5"/>
    <w:rsid w:val="632232BF"/>
    <w:rsid w:val="63424833"/>
    <w:rsid w:val="64C84B0D"/>
    <w:rsid w:val="652D189C"/>
    <w:rsid w:val="657E6CA1"/>
    <w:rsid w:val="66103E89"/>
    <w:rsid w:val="675A14C6"/>
    <w:rsid w:val="68BD5CFA"/>
    <w:rsid w:val="692C7B17"/>
    <w:rsid w:val="69A9560C"/>
    <w:rsid w:val="6A03242E"/>
    <w:rsid w:val="6ADF119A"/>
    <w:rsid w:val="6B115C32"/>
    <w:rsid w:val="6C7A3290"/>
    <w:rsid w:val="6C830F98"/>
    <w:rsid w:val="6CD421A2"/>
    <w:rsid w:val="6CFD07AB"/>
    <w:rsid w:val="6E347858"/>
    <w:rsid w:val="701A0FED"/>
    <w:rsid w:val="71515B9C"/>
    <w:rsid w:val="719F1C3E"/>
    <w:rsid w:val="71DE272F"/>
    <w:rsid w:val="72D55DE5"/>
    <w:rsid w:val="74015DFF"/>
    <w:rsid w:val="74D03B91"/>
    <w:rsid w:val="74F3414F"/>
    <w:rsid w:val="75622283"/>
    <w:rsid w:val="759F1E48"/>
    <w:rsid w:val="75A1521D"/>
    <w:rsid w:val="766F1297"/>
    <w:rsid w:val="76765954"/>
    <w:rsid w:val="767FA0AE"/>
    <w:rsid w:val="769158DB"/>
    <w:rsid w:val="76CDC024"/>
    <w:rsid w:val="78112CFA"/>
    <w:rsid w:val="796D0B40"/>
    <w:rsid w:val="79F301DD"/>
    <w:rsid w:val="7B5573A2"/>
    <w:rsid w:val="7C065FBE"/>
    <w:rsid w:val="7C806130"/>
    <w:rsid w:val="7D5B4A17"/>
    <w:rsid w:val="7D893C2B"/>
    <w:rsid w:val="7DFF2D5C"/>
    <w:rsid w:val="7E845560"/>
    <w:rsid w:val="7F385010"/>
    <w:rsid w:val="7F7F6CFC"/>
    <w:rsid w:val="7F7F7EB8"/>
    <w:rsid w:val="7F9D7069"/>
    <w:rsid w:val="ADF7B6EC"/>
    <w:rsid w:val="CFE52EF1"/>
    <w:rsid w:val="D7BF292F"/>
    <w:rsid w:val="DFBFAB33"/>
    <w:rsid w:val="E8FE3DDA"/>
    <w:rsid w:val="F9F39DA9"/>
    <w:rsid w:val="FDFFC53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tabs>
        <w:tab w:val="left" w:pos="1400"/>
      </w:tabs>
      <w:ind w:firstLine="420" w:firstLineChars="200"/>
    </w:pPr>
  </w:style>
  <w:style w:type="paragraph" w:customStyle="1" w:styleId="3">
    <w:name w:val="BodyTextIndent"/>
    <w:basedOn w:val="1"/>
    <w:qFormat/>
    <w:uiPriority w:val="0"/>
    <w:pPr>
      <w:tabs>
        <w:tab w:val="left" w:pos="1400"/>
      </w:tabs>
      <w:spacing w:line="360" w:lineRule="auto"/>
      <w:ind w:firstLine="560"/>
      <w:textAlignment w:val="baseline"/>
    </w:pPr>
    <w:rPr>
      <w:rFonts w:ascii="宋体" w:hAnsi="宋体"/>
      <w:sz w:val="27"/>
      <w:szCs w:val="24"/>
    </w:rPr>
  </w:style>
  <w:style w:type="paragraph" w:styleId="4">
    <w:name w:val="annotation text"/>
    <w:basedOn w:val="1"/>
    <w:link w:val="22"/>
    <w:unhideWhenUsed/>
    <w:qFormat/>
    <w:uiPriority w:val="0"/>
    <w:pPr>
      <w:jc w:val="left"/>
    </w:pPr>
  </w:style>
  <w:style w:type="paragraph" w:styleId="5">
    <w:name w:val="Body Text"/>
    <w:basedOn w:val="1"/>
    <w:next w:val="6"/>
    <w:qFormat/>
    <w:uiPriority w:val="0"/>
    <w:pPr>
      <w:spacing w:line="360" w:lineRule="auto"/>
    </w:pPr>
    <w:rPr>
      <w:rFonts w:ascii="黑体" w:hAnsi="宋体" w:eastAsia="黑体"/>
      <w:sz w:val="24"/>
      <w:lang w:val="zh-CN"/>
    </w:rPr>
  </w:style>
  <w:style w:type="paragraph" w:styleId="6">
    <w:name w:val="Body Text First Indent"/>
    <w:basedOn w:val="1"/>
    <w:next w:val="1"/>
    <w:qFormat/>
    <w:uiPriority w:val="0"/>
    <w:pPr>
      <w:ind w:firstLine="420" w:firstLineChars="100"/>
    </w:pPr>
  </w:style>
  <w:style w:type="paragraph" w:styleId="7">
    <w:name w:val="Plain Text"/>
    <w:basedOn w:val="1"/>
    <w:next w:val="5"/>
    <w:qFormat/>
    <w:uiPriority w:val="0"/>
    <w:pPr>
      <w:spacing w:line="360" w:lineRule="auto"/>
      <w:ind w:firstLine="200" w:firstLineChars="200"/>
    </w:pPr>
    <w:rPr>
      <w:rFonts w:hint="eastAsia" w:ascii="宋体" w:hAnsi="Courier New" w:eastAsia="Times New Roman"/>
      <w:kern w:val="28"/>
      <w:sz w:val="24"/>
      <w:szCs w:val="21"/>
    </w:rPr>
  </w:style>
  <w:style w:type="paragraph" w:styleId="8">
    <w:name w:val="Balloon Text"/>
    <w:basedOn w:val="1"/>
    <w:link w:val="24"/>
    <w:qFormat/>
    <w:uiPriority w:val="0"/>
    <w:rPr>
      <w:sz w:val="18"/>
      <w:szCs w:val="18"/>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4"/>
    <w:next w:val="4"/>
    <w:link w:val="23"/>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styleId="16">
    <w:name w:val="annotation reference"/>
    <w:basedOn w:val="14"/>
    <w:qFormat/>
    <w:uiPriority w:val="0"/>
    <w:rPr>
      <w:sz w:val="21"/>
      <w:szCs w:val="21"/>
    </w:rPr>
  </w:style>
  <w:style w:type="paragraph" w:customStyle="1" w:styleId="17">
    <w:name w:val="表格文字"/>
    <w:basedOn w:val="7"/>
    <w:next w:val="5"/>
    <w:qFormat/>
    <w:uiPriority w:val="0"/>
    <w:pPr>
      <w:adjustRightInd w:val="0"/>
      <w:spacing w:line="420" w:lineRule="atLeast"/>
      <w:jc w:val="left"/>
      <w:textAlignment w:val="baseline"/>
    </w:pPr>
    <w:rPr>
      <w:rFonts w:ascii="Times New Roman" w:hAnsi="Times New Roman" w:eastAsia="宋体"/>
      <w:kern w:val="0"/>
      <w:szCs w:val="24"/>
    </w:rPr>
  </w:style>
  <w:style w:type="paragraph" w:customStyle="1" w:styleId="18">
    <w:name w:val="列出段落1"/>
    <w:basedOn w:val="1"/>
    <w:qFormat/>
    <w:uiPriority w:val="34"/>
    <w:pPr>
      <w:ind w:firstLine="420" w:firstLineChars="200"/>
    </w:pPr>
  </w:style>
  <w:style w:type="paragraph" w:customStyle="1" w:styleId="19">
    <w:name w:val="主送机关"/>
    <w:basedOn w:val="1"/>
    <w:qFormat/>
    <w:uiPriority w:val="0"/>
    <w:rPr>
      <w:rFonts w:ascii="仿宋_GB2312" w:eastAsia="仿宋_GB2312"/>
      <w:sz w:val="32"/>
      <w:szCs w:val="32"/>
    </w:rPr>
  </w:style>
  <w:style w:type="character" w:customStyle="1" w:styleId="20">
    <w:name w:val="页眉 字符"/>
    <w:basedOn w:val="14"/>
    <w:link w:val="10"/>
    <w:qFormat/>
    <w:uiPriority w:val="0"/>
    <w:rPr>
      <w:kern w:val="2"/>
      <w:sz w:val="18"/>
      <w:szCs w:val="18"/>
    </w:rPr>
  </w:style>
  <w:style w:type="character" w:customStyle="1" w:styleId="21">
    <w:name w:val="页脚 字符"/>
    <w:basedOn w:val="14"/>
    <w:link w:val="9"/>
    <w:qFormat/>
    <w:uiPriority w:val="0"/>
    <w:rPr>
      <w:kern w:val="2"/>
      <w:sz w:val="18"/>
      <w:szCs w:val="18"/>
    </w:rPr>
  </w:style>
  <w:style w:type="character" w:customStyle="1" w:styleId="22">
    <w:name w:val="批注文字 字符"/>
    <w:basedOn w:val="14"/>
    <w:link w:val="4"/>
    <w:qFormat/>
    <w:uiPriority w:val="0"/>
    <w:rPr>
      <w:kern w:val="2"/>
      <w:sz w:val="21"/>
      <w:szCs w:val="22"/>
    </w:rPr>
  </w:style>
  <w:style w:type="character" w:customStyle="1" w:styleId="23">
    <w:name w:val="批注主题 字符"/>
    <w:basedOn w:val="22"/>
    <w:link w:val="11"/>
    <w:qFormat/>
    <w:uiPriority w:val="0"/>
    <w:rPr>
      <w:b/>
      <w:bCs/>
      <w:kern w:val="2"/>
      <w:sz w:val="21"/>
      <w:szCs w:val="22"/>
    </w:rPr>
  </w:style>
  <w:style w:type="character" w:customStyle="1" w:styleId="24">
    <w:name w:val="批注框文本 字符"/>
    <w:basedOn w:val="14"/>
    <w:link w:val="8"/>
    <w:qFormat/>
    <w:uiPriority w:val="0"/>
    <w:rPr>
      <w:kern w:val="2"/>
      <w:sz w:val="18"/>
      <w:szCs w:val="18"/>
    </w:rPr>
  </w:style>
  <w:style w:type="paragraph" w:styleId="25">
    <w:name w:val="List Paragraph"/>
    <w:basedOn w:val="1"/>
    <w:unhideWhenUsed/>
    <w:qFormat/>
    <w:uiPriority w:val="99"/>
    <w:pPr>
      <w:ind w:firstLine="420" w:firstLineChars="200"/>
    </w:pPr>
  </w:style>
  <w:style w:type="paragraph" w:customStyle="1" w:styleId="26">
    <w:name w:val="Revision"/>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1133</Words>
  <Characters>6459</Characters>
  <Lines>53</Lines>
  <Paragraphs>15</Paragraphs>
  <TotalTime>0</TotalTime>
  <ScaleCrop>false</ScaleCrop>
  <LinksUpToDate>false</LinksUpToDate>
  <CharactersWithSpaces>7577</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2023-09-26T12:37:00Z</dcterms:created>
  <dc:creator>Administrator</dc:creator>
  <cp:lastModifiedBy>HJS-CL</cp:lastModifiedBy>
  <dcterms:modified xsi:type="dcterms:W3CDTF">2023-09-28T09:26:20Z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0BE282D7E8AD4F968F37DF7A381A96CB_13</vt:lpwstr>
  </property>
  <property fmtid="{D5CDD505-2E9C-101B-9397-08002B2CF9AE}" pid="4" name="commondata">
    <vt:lpwstr>eyJoZGlkIjoiNjIwNzJhZDRmZjI1OGZjMWZmYThmMDg5MTNlZGM4YTUifQ==</vt:lpwstr>
  </property>
</Properties>
</file>