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杭州新文股份经济合作社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杭州市拱墅区新文路12号2幢</w:t>
      </w:r>
      <w:r>
        <w:rPr>
          <w:rFonts w:hint="eastAsia" w:ascii="宋体" w:hAnsi="宋体" w:eastAsia="宋体" w:cs="宋体"/>
          <w:sz w:val="24"/>
          <w:szCs w:val="24"/>
        </w:rPr>
        <w:t>房屋9年租赁权</w:t>
      </w:r>
      <w:r>
        <w:rPr>
          <w:rFonts w:ascii="宋体" w:hAnsi="宋体" w:eastAsia="宋体" w:cs="宋体"/>
          <w:sz w:val="24"/>
          <w:szCs w:val="24"/>
        </w:rPr>
        <w:t xml:space="preserve">项目，特对以下事项进行书面承诺： </w:t>
      </w:r>
    </w:p>
    <w:p>
      <w:pPr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我方具有良好的银行资信和商业信誉，财务状况良好，2020-2022年三年连续盈利。</w:t>
      </w:r>
    </w:p>
    <w:p>
      <w:pPr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我方投入公寓整体改造资金在600万元以上。如我方在装修完毕后经第三方审计实际投入改造资金未能达到600万元以上的，租赁价格将在实际成交价的基础上，每 3 年一递增，在上一年租金的基础上递增 10 %至租赁期满。</w:t>
      </w:r>
    </w:p>
    <w:p>
      <w:pPr>
        <w:numPr>
          <w:numId w:val="0"/>
        </w:numPr>
        <w:spacing w:line="480" w:lineRule="auto"/>
      </w:pPr>
    </w:p>
    <w:p>
      <w:pPr>
        <w:numPr>
          <w:numId w:val="0"/>
        </w:numPr>
        <w:spacing w:line="480" w:lineRule="auto"/>
      </w:pPr>
    </w:p>
    <w:p>
      <w:pPr>
        <w:numPr>
          <w:numId w:val="0"/>
        </w:numPr>
        <w:spacing w:line="480" w:lineRule="auto"/>
      </w:pPr>
    </w:p>
    <w:p>
      <w:pPr>
        <w:numPr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numId w:val="0"/>
        </w:numPr>
        <w:spacing w:line="48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CA0BD"/>
    <w:multiLevelType w:val="singleLevel"/>
    <w:tmpl w:val="AB8CA0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2023-08-31T06:04:54Z</dcterms:created>
  <dc:creator>SJ</dc:creator>
  <cp:lastModifiedBy>SJ</cp:lastModifiedBy>
  <dcterms:modified xsi:type="dcterms:W3CDTF">2023-08-31T06:11:21Z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