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杭州云龙公寓腾龙阁102室</w:t>
      </w:r>
      <w:r>
        <w:rPr>
          <w:rFonts w:hint="eastAsia" w:asciiTheme="minorEastAsia" w:hAnsiTheme="minorEastAsia" w:eastAsiaTheme="minorEastAsia"/>
          <w:szCs w:val="21"/>
        </w:rPr>
        <w:t>房产项目（标的编号：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ZC</w:t>
      </w:r>
      <w:r>
        <w:rPr>
          <w:rFonts w:hint="eastAsia" w:asciiTheme="minorEastAsia" w:hAnsiTheme="minorEastAsia" w:eastAsiaTheme="minorEastAsia"/>
          <w:szCs w:val="21"/>
          <w:u w:val="single"/>
          <w:lang w:val="en-US" w:eastAsia="zh-CN"/>
        </w:rPr>
        <w:t>1732</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受让方之日起5个工作日内，携带受让申请材料原件到杭交所完成现场确认并签署交易记录、《成交通知书》、《资产交易合同》；并在《成交通知书》、《资产交易合同》签署之日起20个工作日内向杭交所指定账户一次性支付交易服务费、交易价款等交易资金（《资产交易合同》签署当日，其交纳的对应标的的交易保证金冲抵交易服务费，多余部分（若有）转为履约保证金，待应支付的剩余款项全部到账后，履约保证金再转为交易价款的一部分）（以到账时间为准）。</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若受让方需要委托杭州企业产权交易中心有限公司（以下简称经纪会员）或经纪会员指定的第三方办理权证过户手续的，经纪会员或经纪会员指定的第三方可提供有偿的权证过户服务，同时受让方还应自《成交通知书》、《资产交易合同》签署之日起20个工作日内预付成交价1.5%款项作为办理权证过户手续的税、费（多退少补）。</w:t>
      </w:r>
    </w:p>
    <w:p>
      <w:pPr>
        <w:numPr>
          <w:ilvl w:val="0"/>
          <w:numId w:val="0"/>
        </w:num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受让方申请按揭贷款方式支付房产成交价款并符合按揭贷款条件的，按照贷款银行（杭交所合作银行）核准的额度和要求，应在《成交通知书》、本合同签署之日起5个工作日内向杭交所指定账户付清交易服务费、首付款及预付款（90方以下按1%收取，90方以上按2%收取，作为办理权证过户手续的税、费）（多退少补）和权证过户服务费，余款用按揭贷款支付【本合同签署当日，受让方交纳的对应标的的交易保证金在依次冲抵交易服务费，多余部分（若有）转为履约保证金，待应支付的剩余首付款全部到账后，履约保证金再转为首付款的一部分）】。</w:t>
      </w:r>
    </w:p>
    <w:p>
      <w:pPr>
        <w:numPr>
          <w:ilvl w:val="0"/>
          <w:numId w:val="0"/>
        </w:numPr>
        <w:spacing w:line="360" w:lineRule="auto"/>
        <w:ind w:firstLine="420" w:firstLineChars="200"/>
        <w:rPr>
          <w:rFonts w:hint="eastAsia" w:cs="Times New Roman" w:asciiTheme="minorEastAsia" w:hAnsiTheme="minorEastAsia" w:eastAsiaTheme="minorEastAsia"/>
          <w:szCs w:val="21"/>
        </w:rPr>
      </w:pPr>
      <w:r>
        <w:rPr>
          <w:rFonts w:hint="eastAsia" w:asciiTheme="minorEastAsia" w:hAnsiTheme="minorEastAsia" w:eastAsiaTheme="minorEastAsia"/>
          <w:szCs w:val="21"/>
        </w:rPr>
        <w:t>若受让方按揭贷款审批未通过或者经审批发放的按揭贷款数额不足以支付剩余款项的，受让方须自按揭贷款审核不通过或按揭贷款发放之日起10个工作日内向杭交所指定账户一次性付清全部交易价款【原交易保证金扣除交易服务费后剩余部分继续作为履约保证金】。受让方按揭贷款审批结果以按揭银行审批结果为准。</w:t>
      </w:r>
    </w:p>
    <w:p>
      <w:pPr>
        <w:numPr>
          <w:ilvl w:val="0"/>
          <w:numId w:val="0"/>
        </w:numPr>
        <w:spacing w:line="360"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4、同意杭交所在在经转让方申请之日起3个工作日内将受让方已交纳的交易价款全部划转至转让方指定账户。</w:t>
      </w:r>
    </w:p>
    <w:p>
      <w:pPr>
        <w:numPr>
          <w:ilvl w:val="0"/>
          <w:numId w:val="0"/>
        </w:num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5、</w:t>
      </w:r>
      <w:r>
        <w:rPr>
          <w:rFonts w:hint="eastAsia" w:cs="Times New Roman" w:asciiTheme="minorEastAsia" w:hAnsiTheme="minorEastAsia" w:eastAsiaTheme="minorEastAsia"/>
          <w:szCs w:val="21"/>
        </w:rPr>
        <w:t>同意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w:t>
      </w:r>
    </w:p>
    <w:p>
      <w:pPr>
        <w:numPr>
          <w:ilvl w:val="0"/>
          <w:numId w:val="0"/>
        </w:numPr>
        <w:spacing w:line="360"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6、若我方成为受让方，在办理房产权证过户手续过程中所涉及买卖双方应缴纳的税、费，按国家有关规定由转让方与受让方各自承担。</w:t>
      </w:r>
    </w:p>
    <w:p>
      <w:pPr>
        <w:numPr>
          <w:ilvl w:val="0"/>
          <w:numId w:val="0"/>
        </w:num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7</w:t>
      </w:r>
      <w:r>
        <w:rPr>
          <w:rFonts w:hint="eastAsia" w:cs="Times New Roman" w:asciiTheme="minorEastAsia" w:hAnsiTheme="minorEastAsia" w:eastAsiaTheme="minorEastAsia"/>
          <w:szCs w:val="21"/>
        </w:rPr>
        <w:t>、已知悉并同意：同意在办理不动产权证变更登记手续时，有关职能部门要求提供文本合同的，转让方和受让方双方应按照相关规定签订文本合同。但双方一致确认，该等新签订的文本合同仅作为办理登记手续之用，不作为双方的实际履行依据，双方权利义务关系均以《资产交易合同》样本为准。</w:t>
      </w:r>
    </w:p>
    <w:p>
      <w:pPr>
        <w:numPr>
          <w:ilvl w:val="0"/>
          <w:numId w:val="0"/>
        </w:num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8</w:t>
      </w:r>
      <w:r>
        <w:rPr>
          <w:rFonts w:hint="eastAsia" w:cs="Times New Roman" w:asciiTheme="minorEastAsia" w:hAnsiTheme="minorEastAsia" w:eastAsiaTheme="minorEastAsia"/>
          <w:szCs w:val="21"/>
        </w:rPr>
        <w:t>、若我方成为受让方，知悉并同意：同意交易标的各种使用费用（不限于物业管理费、水、电费等）由转让方承担，物业管理费从交接次月起由受让方承担，水、电可以重新开户的，相关手续及费用由受让方自理，但是否可以重新开户不在转让方合同义务范围内，具体按照交易标的情况和政府相关管理规定执行。</w:t>
      </w:r>
    </w:p>
    <w:p>
      <w:pPr>
        <w:numPr>
          <w:ilvl w:val="0"/>
          <w:numId w:val="0"/>
        </w:num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9</w:t>
      </w:r>
      <w:r>
        <w:rPr>
          <w:rFonts w:hint="eastAsia" w:cs="Times New Roman" w:asciiTheme="minorEastAsia" w:hAnsiTheme="minorEastAsia" w:eastAsiaTheme="minorEastAsia"/>
          <w:szCs w:val="21"/>
        </w:rPr>
        <w:t>、若我方成为受让方，知悉并同意：本次交易标的只限于权证核定的面积范围内。标的房屋如有漏水或需维修的情况，均由受让方自理,转让方不承担任何费用和责任。</w:t>
      </w:r>
    </w:p>
    <w:p>
      <w:pPr>
        <w:numPr>
          <w:ilvl w:val="0"/>
          <w:numId w:val="0"/>
        </w:num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、若我方成为受让方，知悉并同意：如有户口未迁出的情况发生，转让方通知原户主把户口迁出，但有关学区房孩子能否就读的情况请意向受让方自行查证，对此转让方、经纪会员、杭交所不做承诺。</w:t>
      </w:r>
    </w:p>
    <w:p>
      <w:pPr>
        <w:numPr>
          <w:ilvl w:val="0"/>
          <w:numId w:val="0"/>
        </w:numPr>
        <w:spacing w:line="360" w:lineRule="auto"/>
        <w:ind w:firstLine="420" w:firstLineChars="200"/>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11、</w:t>
      </w:r>
      <w:r>
        <w:rPr>
          <w:rFonts w:hint="eastAsia" w:cs="Times New Roman" w:asciiTheme="minorEastAsia" w:hAnsiTheme="minorEastAsia" w:eastAsiaTheme="minorEastAsia"/>
          <w:szCs w:val="21"/>
        </w:rPr>
        <w:t>若我方成为受让方，知悉并同意：被确认为受让方后如果选择银行贷款支付交易价款的，同意由杭交所对受让方支付到产金所账户-个人中心-未使用资金的首付款进行扣除。</w:t>
      </w:r>
    </w:p>
    <w:p>
      <w:pPr>
        <w:numPr>
          <w:ilvl w:val="0"/>
          <w:numId w:val="0"/>
        </w:numPr>
        <w:spacing w:line="360" w:lineRule="auto"/>
        <w:ind w:firstLine="420" w:firstLineChars="200"/>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12、若我方成为受让方，知悉并同意：本次转让方与受让方的权利义务以及房屋的交接，最终以转让方提供的《资产交易合同》样本为准。</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、同意按</w:t>
      </w:r>
      <w:r>
        <w:rPr>
          <w:rFonts w:asciiTheme="minorEastAsia" w:hAnsiTheme="minorEastAsia" w:eastAsiaTheme="minorEastAsia"/>
          <w:szCs w:val="21"/>
        </w:rPr>
        <w:t>成交金额的</w:t>
      </w:r>
      <w:r>
        <w:rPr>
          <w:rFonts w:hint="eastAsia" w:asciiTheme="minorEastAsia" w:hAnsiTheme="minorEastAsia" w:eastAsiaTheme="minorEastAsia"/>
          <w:szCs w:val="21"/>
          <w:u w:val="single"/>
        </w:rPr>
        <w:t>2.5</w:t>
      </w:r>
      <w:r>
        <w:rPr>
          <w:rFonts w:asciiTheme="minorEastAsia" w:hAnsiTheme="minorEastAsia" w:eastAsiaTheme="minorEastAsia"/>
          <w:szCs w:val="21"/>
        </w:rPr>
        <w:t>%</w:t>
      </w:r>
      <w:r>
        <w:rPr>
          <w:rFonts w:hint="eastAsia" w:asciiTheme="minorEastAsia" w:hAnsiTheme="minorEastAsia" w:eastAsiaTheme="minorEastAsia"/>
          <w:szCs w:val="21"/>
        </w:rPr>
        <w:t>交纳</w:t>
      </w:r>
      <w:r>
        <w:rPr>
          <w:rFonts w:asciiTheme="minorEastAsia" w:hAnsiTheme="minorEastAsia" w:eastAsiaTheme="minorEastAsia"/>
          <w:szCs w:val="21"/>
        </w:rPr>
        <w:t>交易服务费。</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asciiTheme="minorEastAsia" w:hAnsiTheme="minorEastAsia" w:eastAsiaTheme="minorEastAsia"/>
          <w:szCs w:val="21"/>
        </w:rPr>
        <w:t>、</w:t>
      </w:r>
      <w:r>
        <w:rPr>
          <w:rFonts w:hint="eastAsia" w:asciiTheme="minorEastAsia" w:hAnsiTheme="minorEastAsia" w:eastAsiaTheme="minorEastAsia"/>
          <w:szCs w:val="21"/>
        </w:rPr>
        <w:t xml:space="preserve">若非转让方原因，出现以下任一情况时，意向受让方交纳的保证金不予退还，先用于补偿杭交所、经纪会员的各项服务费，剩余部分作为对转让方的经济补偿金，保证金不足以补偿的，相关方有权按照实际损失继续追诉： </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w:t>
      </w:r>
      <w:r>
        <w:rPr>
          <w:rFonts w:hint="eastAsia" w:asciiTheme="minorEastAsia" w:hAnsiTheme="minorEastAsia" w:eastAsiaTheme="minorEastAsia"/>
          <w:szCs w:val="21"/>
          <w:lang w:val="en-US" w:eastAsia="zh-CN"/>
        </w:rPr>
        <w:t>交易服务费、</w:t>
      </w:r>
      <w:bookmarkStart w:id="0" w:name="_GoBack"/>
      <w:bookmarkEnd w:id="0"/>
      <w:r>
        <w:rPr>
          <w:rFonts w:hint="eastAsia" w:asciiTheme="minorEastAsia" w:hAnsiTheme="minorEastAsia" w:eastAsiaTheme="minorEastAsia"/>
          <w:szCs w:val="21"/>
        </w:rPr>
        <w:t>交易价款的；</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DD"/>
    <w:rsid w:val="000119B9"/>
    <w:rsid w:val="0003337E"/>
    <w:rsid w:val="00092C9D"/>
    <w:rsid w:val="00143D8A"/>
    <w:rsid w:val="0020310B"/>
    <w:rsid w:val="002278BB"/>
    <w:rsid w:val="002526A0"/>
    <w:rsid w:val="00255411"/>
    <w:rsid w:val="00274544"/>
    <w:rsid w:val="002751CD"/>
    <w:rsid w:val="002A05F0"/>
    <w:rsid w:val="002F36D9"/>
    <w:rsid w:val="003229C2"/>
    <w:rsid w:val="00383E82"/>
    <w:rsid w:val="00384D18"/>
    <w:rsid w:val="003A2F6F"/>
    <w:rsid w:val="003E079C"/>
    <w:rsid w:val="00413930"/>
    <w:rsid w:val="00430675"/>
    <w:rsid w:val="004900C6"/>
    <w:rsid w:val="004A53C2"/>
    <w:rsid w:val="004C246D"/>
    <w:rsid w:val="004D1B74"/>
    <w:rsid w:val="004E1479"/>
    <w:rsid w:val="004E3107"/>
    <w:rsid w:val="004F3BEF"/>
    <w:rsid w:val="00503879"/>
    <w:rsid w:val="005104B5"/>
    <w:rsid w:val="0055051A"/>
    <w:rsid w:val="00557070"/>
    <w:rsid w:val="005A37D0"/>
    <w:rsid w:val="005F70EF"/>
    <w:rsid w:val="0060197B"/>
    <w:rsid w:val="00627BE3"/>
    <w:rsid w:val="00662215"/>
    <w:rsid w:val="00681679"/>
    <w:rsid w:val="00737286"/>
    <w:rsid w:val="007847DD"/>
    <w:rsid w:val="00790D21"/>
    <w:rsid w:val="007E4EDD"/>
    <w:rsid w:val="0084282E"/>
    <w:rsid w:val="00877424"/>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0C95"/>
    <w:rsid w:val="00B36433"/>
    <w:rsid w:val="00B91182"/>
    <w:rsid w:val="00B923AA"/>
    <w:rsid w:val="00BD7EAF"/>
    <w:rsid w:val="00C02F3D"/>
    <w:rsid w:val="00C07B7D"/>
    <w:rsid w:val="00C2064E"/>
    <w:rsid w:val="00C2125E"/>
    <w:rsid w:val="00C300A5"/>
    <w:rsid w:val="00C434EA"/>
    <w:rsid w:val="00C743D2"/>
    <w:rsid w:val="00C76683"/>
    <w:rsid w:val="00C80243"/>
    <w:rsid w:val="00C85BC7"/>
    <w:rsid w:val="00CB24DF"/>
    <w:rsid w:val="00CB5B8C"/>
    <w:rsid w:val="00CF4007"/>
    <w:rsid w:val="00D22AFA"/>
    <w:rsid w:val="00D56D57"/>
    <w:rsid w:val="00DD02F6"/>
    <w:rsid w:val="00E00E55"/>
    <w:rsid w:val="00E10ADA"/>
    <w:rsid w:val="00E60BD5"/>
    <w:rsid w:val="00ED0403"/>
    <w:rsid w:val="00ED4E9F"/>
    <w:rsid w:val="00EF62AF"/>
    <w:rsid w:val="00F06BEC"/>
    <w:rsid w:val="00F2413B"/>
    <w:rsid w:val="00F47654"/>
    <w:rsid w:val="00FA0343"/>
    <w:rsid w:val="00FA6AB7"/>
    <w:rsid w:val="044A3860"/>
    <w:rsid w:val="0827534F"/>
    <w:rsid w:val="086342E3"/>
    <w:rsid w:val="08FA4D12"/>
    <w:rsid w:val="0CDE1A0C"/>
    <w:rsid w:val="0D651784"/>
    <w:rsid w:val="10156B6E"/>
    <w:rsid w:val="116B1192"/>
    <w:rsid w:val="134018A1"/>
    <w:rsid w:val="19C34CA8"/>
    <w:rsid w:val="2525211A"/>
    <w:rsid w:val="2A246152"/>
    <w:rsid w:val="2B2A2B21"/>
    <w:rsid w:val="2C747852"/>
    <w:rsid w:val="2F543F3F"/>
    <w:rsid w:val="30BF791A"/>
    <w:rsid w:val="32F70C97"/>
    <w:rsid w:val="36DE7BFE"/>
    <w:rsid w:val="3CB22F05"/>
    <w:rsid w:val="3FC647FE"/>
    <w:rsid w:val="405E68A9"/>
    <w:rsid w:val="4B65756B"/>
    <w:rsid w:val="4FCC048D"/>
    <w:rsid w:val="52166E81"/>
    <w:rsid w:val="52EE690D"/>
    <w:rsid w:val="54570943"/>
    <w:rsid w:val="54D92206"/>
    <w:rsid w:val="595A0D43"/>
    <w:rsid w:val="60334C3D"/>
    <w:rsid w:val="63A329B1"/>
    <w:rsid w:val="684518B6"/>
    <w:rsid w:val="704E7C98"/>
    <w:rsid w:val="75A627F8"/>
    <w:rsid w:val="76822061"/>
    <w:rsid w:val="76B33FD7"/>
    <w:rsid w:val="77110E47"/>
    <w:rsid w:val="7B6F0FA1"/>
    <w:rsid w:val="7C3D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 行距: 1.5 倍行距"/>
    <w:basedOn w:val="1"/>
    <w:qFormat/>
    <w:uiPriority w:val="0"/>
    <w:pPr>
      <w:widowControl/>
      <w:autoSpaceDE w:val="0"/>
      <w:autoSpaceDN w:val="0"/>
      <w:adjustRightInd w:val="0"/>
      <w:spacing w:line="360" w:lineRule="auto"/>
      <w:ind w:firstLine="200" w:firstLineChars="200"/>
      <w:jc w:val="left"/>
    </w:pPr>
    <w:rPr>
      <w:rFonts w:ascii="宋体" w:hAnsi="宋体" w:cs="宋体"/>
      <w:kern w:val="20"/>
      <w:sz w:val="24"/>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8">
    <w:name w:val="页眉 字符"/>
    <w:basedOn w:val="7"/>
    <w:link w:val="4"/>
    <w:qFormat/>
    <w:uiPriority w:val="99"/>
    <w:rPr>
      <w:rFonts w:ascii="Times New Roman" w:hAnsi="Times New Roman" w:eastAsia="宋体" w:cs="Times New Roman"/>
      <w:sz w:val="18"/>
      <w:szCs w:val="18"/>
    </w:rPr>
  </w:style>
  <w:style w:type="character" w:customStyle="1" w:styleId="9">
    <w:name w:val="页脚 字符"/>
    <w:basedOn w:val="7"/>
    <w:link w:val="3"/>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字符"/>
    <w:basedOn w:val="7"/>
    <w:link w:val="5"/>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312</Words>
  <Characters>1783</Characters>
  <Lines>14</Lines>
  <Paragraphs>4</Paragraphs>
  <TotalTime>0</TotalTime>
  <ScaleCrop>false</ScaleCrop>
  <LinksUpToDate>false</LinksUpToDate>
  <CharactersWithSpaces>2091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2021-11-11T13:18:00Z</dcterms:created>
  <dc:creator>zxy</dc:creator>
  <cp:lastModifiedBy>YJD</cp:lastModifiedBy>
  <cp:lastPrinted>2021-11-11T02:04:00Z</cp:lastPrinted>
  <dcterms:modified xsi:type="dcterms:W3CDTF">2023-08-24T09:19:57Z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8F84B87D14E341E18C4783BBF7B78E67</vt:lpwstr>
  </property>
</Properties>
</file>