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盈丰小学地下净菜超市、地下二层停车场整体租赁合同</w:t>
      </w:r>
    </w:p>
    <w:p>
      <w:pPr>
        <w:spacing w:line="276" w:lineRule="auto"/>
        <w:ind w:firstLine="480" w:firstLineChars="200"/>
        <w:rPr>
          <w:rFonts w:asciiTheme="minorEastAsia" w:hAnsiTheme="minorEastAsia" w:eastAsiaTheme="minorEastAsia"/>
          <w:sz w:val="24"/>
        </w:rPr>
      </w:pPr>
    </w:p>
    <w:p>
      <w:pPr>
        <w:pStyle w:val="2"/>
        <w:numPr>
          <w:ilvl w:val="255"/>
          <w:numId w:val="0"/>
        </w:numPr>
      </w:pPr>
    </w:p>
    <w:p>
      <w:pPr>
        <w:spacing w:line="400" w:lineRule="exact"/>
        <w:rPr>
          <w:rFonts w:ascii="宋体" w:hAnsi="宋体"/>
          <w:b/>
          <w:bCs/>
          <w:sz w:val="24"/>
        </w:rPr>
      </w:pPr>
      <w:r>
        <w:rPr>
          <w:rFonts w:hint="eastAsia" w:ascii="宋体" w:hAnsi="宋体"/>
          <w:b/>
          <w:bCs/>
          <w:sz w:val="24"/>
        </w:rPr>
        <w:t>甲方（出租方）：杭州萧山钱江世纪城城市运营有限公司</w:t>
      </w:r>
    </w:p>
    <w:p>
      <w:pPr>
        <w:spacing w:line="400" w:lineRule="exact"/>
        <w:rPr>
          <w:rFonts w:ascii="宋体" w:hAnsi="宋体"/>
          <w:b/>
          <w:bCs/>
          <w:sz w:val="24"/>
        </w:rPr>
      </w:pPr>
      <w:r>
        <w:rPr>
          <w:rFonts w:hint="eastAsia" w:ascii="宋体" w:hAnsi="宋体"/>
          <w:b/>
          <w:bCs/>
          <w:sz w:val="24"/>
        </w:rPr>
        <w:t>乙方（承租方）：</w:t>
      </w:r>
    </w:p>
    <w:p>
      <w:pPr>
        <w:spacing w:line="400" w:lineRule="exact"/>
        <w:rPr>
          <w:rFonts w:ascii="宋体" w:hAnsi="宋体"/>
          <w:b/>
          <w:bCs/>
          <w:sz w:val="24"/>
        </w:rPr>
      </w:pPr>
    </w:p>
    <w:p>
      <w:pPr>
        <w:spacing w:line="400" w:lineRule="exact"/>
        <w:rPr>
          <w:rFonts w:ascii="宋体" w:hAnsi="宋体"/>
          <w:b/>
          <w:bCs/>
          <w:sz w:val="24"/>
        </w:rPr>
      </w:pPr>
    </w:p>
    <w:p>
      <w:pPr>
        <w:spacing w:line="400" w:lineRule="exact"/>
        <w:rPr>
          <w:rFonts w:ascii="宋体" w:hAnsi="宋体"/>
          <w:b/>
          <w:bCs/>
          <w:sz w:val="24"/>
        </w:rPr>
      </w:pPr>
      <w:r>
        <w:rPr>
          <w:rFonts w:hint="eastAsia" w:ascii="宋体" w:hAnsi="宋体"/>
          <w:b/>
          <w:bCs/>
          <w:sz w:val="24"/>
        </w:rPr>
        <w:t>鉴于：</w:t>
      </w:r>
    </w:p>
    <w:p>
      <w:pPr>
        <w:snapToGrid w:val="0"/>
        <w:spacing w:line="550" w:lineRule="exact"/>
        <w:ind w:firstLine="480" w:firstLineChars="200"/>
        <w:jc w:val="left"/>
        <w:rPr>
          <w:rFonts w:ascii="宋体" w:hAnsi="宋体"/>
          <w:b/>
          <w:bCs/>
          <w:sz w:val="24"/>
        </w:rPr>
      </w:pPr>
      <w:r>
        <w:rPr>
          <w:rFonts w:hint="eastAsia" w:ascii="宋体" w:hAnsi="宋体"/>
          <w:sz w:val="24"/>
        </w:rPr>
        <w:t>【盈丰小学地下净菜超市、地下二层停车场标的建筑物】（下称“出租房屋”）项目经甲、乙双方友好协商，就房屋租赁事宜达成如下内容并共同遵照执行。</w:t>
      </w:r>
    </w:p>
    <w:p>
      <w:pPr>
        <w:spacing w:line="550" w:lineRule="exact"/>
        <w:jc w:val="left"/>
        <w:rPr>
          <w:rFonts w:ascii="宋体" w:hAnsi="宋体"/>
          <w:b/>
          <w:bCs/>
          <w:sz w:val="24"/>
        </w:rPr>
      </w:pPr>
      <w:r>
        <w:rPr>
          <w:rFonts w:hint="eastAsia" w:ascii="宋体" w:hAnsi="宋体"/>
          <w:b/>
          <w:bCs/>
          <w:sz w:val="24"/>
        </w:rPr>
        <w:t>第一条 出租房屋概况</w:t>
      </w:r>
    </w:p>
    <w:p>
      <w:pPr>
        <w:spacing w:line="550" w:lineRule="exact"/>
        <w:ind w:firstLine="480" w:firstLineChars="200"/>
        <w:rPr>
          <w:rFonts w:ascii="宋体" w:hAnsi="宋体"/>
          <w:sz w:val="24"/>
          <w:u w:val="single"/>
        </w:rPr>
      </w:pPr>
      <w:r>
        <w:rPr>
          <w:rFonts w:ascii="宋体" w:hAnsi="宋体"/>
          <w:sz w:val="24"/>
        </w:rPr>
        <w:t xml:space="preserve">1、 </w:t>
      </w:r>
      <w:r>
        <w:rPr>
          <w:rFonts w:hint="eastAsia" w:ascii="宋体" w:hAnsi="宋体"/>
          <w:sz w:val="24"/>
        </w:rPr>
        <w:t>出租房屋位于杭州市萧山区通文路与润川路交叉口萧山区盈丰小学地下一层、地下二层（部分），包含地下停车位266个，充电桩43套，户外自动扶梯一套及四部电梯。</w:t>
      </w:r>
    </w:p>
    <w:p>
      <w:pPr>
        <w:spacing w:line="550" w:lineRule="exact"/>
        <w:ind w:firstLine="480" w:firstLineChars="200"/>
        <w:rPr>
          <w:rFonts w:ascii="宋体" w:hAnsi="宋体"/>
          <w:color w:val="auto"/>
          <w:sz w:val="24"/>
        </w:rPr>
      </w:pPr>
      <w:r>
        <w:rPr>
          <w:rFonts w:hint="eastAsia" w:ascii="宋体" w:hAnsi="宋体"/>
          <w:sz w:val="24"/>
        </w:rPr>
        <w:t>2、 租赁房屋出租面积约为【</w:t>
      </w:r>
      <w:r>
        <w:rPr>
          <w:rFonts w:hint="eastAsia" w:ascii="宋体" w:hAnsi="宋体"/>
          <w:sz w:val="24"/>
          <w:u w:val="single"/>
        </w:rPr>
        <w:t>3239.54</w:t>
      </w:r>
      <w:r>
        <w:rPr>
          <w:rFonts w:hint="eastAsia" w:ascii="宋体" w:hAnsi="宋体"/>
          <w:sz w:val="24"/>
        </w:rPr>
        <w:t>】平方米，地下停车场面积约为【</w:t>
      </w:r>
      <w:r>
        <w:rPr>
          <w:rFonts w:hint="eastAsia" w:ascii="宋体" w:hAnsi="宋体"/>
          <w:sz w:val="24"/>
          <w:u w:val="single"/>
        </w:rPr>
        <w:t>11892</w:t>
      </w:r>
      <w:r>
        <w:rPr>
          <w:rFonts w:hint="eastAsia" w:ascii="宋体" w:hAnsi="宋体"/>
          <w:sz w:val="24"/>
        </w:rPr>
        <w:t>】平方米（租赁房屋实际面积与上述租赁面积有差异，以实际为准，但租金成交价不作调整。），出租房屋包括项目涉及的房屋建筑物及其附属的设施设备、建筑物外立面等。</w:t>
      </w:r>
    </w:p>
    <w:p>
      <w:pPr>
        <w:spacing w:line="550" w:lineRule="exact"/>
        <w:jc w:val="left"/>
        <w:rPr>
          <w:rFonts w:ascii="宋体" w:hAnsi="宋体"/>
          <w:b/>
          <w:bCs/>
          <w:sz w:val="24"/>
        </w:rPr>
      </w:pPr>
      <w:r>
        <w:rPr>
          <w:rFonts w:hint="eastAsia" w:ascii="宋体" w:hAnsi="宋体"/>
          <w:b/>
          <w:bCs/>
          <w:sz w:val="24"/>
        </w:rPr>
        <w:t>第二条 交付日期和租赁期限</w:t>
      </w:r>
    </w:p>
    <w:p>
      <w:pPr>
        <w:spacing w:line="550" w:lineRule="exact"/>
        <w:ind w:firstLine="480" w:firstLineChars="200"/>
        <w:rPr>
          <w:rFonts w:ascii="宋体" w:hAnsi="宋体"/>
          <w:sz w:val="24"/>
        </w:rPr>
      </w:pPr>
      <w:r>
        <w:rPr>
          <w:rFonts w:hint="eastAsia" w:ascii="宋体" w:hAnsi="宋体"/>
          <w:sz w:val="24"/>
        </w:rPr>
        <w:t>1、甲方应于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日将符合本合同约定的租赁房屋交付给乙方使用，交付方式为甲方通知乙方办理接收手续，乙方同意按该房屋交付时现状承租。</w:t>
      </w:r>
    </w:p>
    <w:p>
      <w:pPr>
        <w:spacing w:line="550" w:lineRule="exact"/>
        <w:ind w:firstLine="480" w:firstLineChars="200"/>
        <w:rPr>
          <w:rFonts w:ascii="宋体" w:hAnsi="宋体"/>
          <w:sz w:val="24"/>
        </w:rPr>
      </w:pPr>
      <w:r>
        <w:rPr>
          <w:rFonts w:hint="eastAsia" w:ascii="宋体" w:hAnsi="宋体"/>
          <w:sz w:val="24"/>
        </w:rPr>
        <w:t>2、房屋租赁期为10年，自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rPr>
        <w:t>止，其中装修免租期90日历天，免租期内乙方无需交付租金，但仍需承担其他费用（如电费等）。</w:t>
      </w:r>
    </w:p>
    <w:p>
      <w:pPr>
        <w:spacing w:line="550" w:lineRule="exact"/>
        <w:jc w:val="left"/>
        <w:rPr>
          <w:rFonts w:ascii="宋体" w:hAnsi="宋体"/>
          <w:b/>
          <w:bCs/>
          <w:sz w:val="24"/>
        </w:rPr>
      </w:pPr>
      <w:r>
        <w:rPr>
          <w:rFonts w:hint="eastAsia" w:ascii="宋体" w:hAnsi="宋体"/>
          <w:b/>
          <w:bCs/>
          <w:sz w:val="24"/>
        </w:rPr>
        <w:t>第三条 承租的内容、承租金额、支付方式</w:t>
      </w:r>
    </w:p>
    <w:p>
      <w:pPr>
        <w:spacing w:line="550" w:lineRule="exact"/>
        <w:ind w:firstLine="480" w:firstLineChars="200"/>
        <w:rPr>
          <w:rFonts w:hint="default" w:ascii="Times New Roman" w:hAnsi="Times New Roman" w:eastAsia="宋体"/>
          <w:sz w:val="21"/>
          <w:lang w:eastAsia="zh-Hans"/>
        </w:rPr>
      </w:pPr>
      <w:r>
        <w:rPr>
          <w:rFonts w:hint="eastAsia" w:ascii="宋体" w:hAnsi="宋体"/>
          <w:sz w:val="24"/>
        </w:rPr>
        <w:t>1、乙方全权负责出租房屋参照浙江省三星级文明规范市场目标定位、进行专业运营和管理，负责做好包括但不限于净菜超市创建装修、市场业态规划、摊位招租、市场招商、日常运营管理及地下停车场运营维护等各项工作。出租房屋的消防</w:t>
      </w:r>
      <w:r>
        <w:rPr>
          <w:rFonts w:ascii="宋体" w:hAnsi="宋体"/>
          <w:sz w:val="24"/>
        </w:rPr>
        <w:t>、</w:t>
      </w:r>
      <w:r>
        <w:rPr>
          <w:rFonts w:hint="eastAsia" w:ascii="宋体" w:hAnsi="宋体"/>
          <w:sz w:val="24"/>
        </w:rPr>
        <w:t>安全等责任均由乙方承担。</w:t>
      </w:r>
      <w:r>
        <w:rPr>
          <w:rFonts w:hint="eastAsia" w:ascii="宋体" w:hAnsi="宋体"/>
          <w:sz w:val="24"/>
          <w:lang w:val="en-US" w:eastAsia="zh-Hans"/>
        </w:rPr>
        <w:t>因运营管理需要</w:t>
      </w:r>
      <w:r>
        <w:rPr>
          <w:rFonts w:hint="default" w:ascii="宋体" w:hAnsi="宋体"/>
          <w:sz w:val="24"/>
          <w:lang w:eastAsia="zh-Hans"/>
        </w:rPr>
        <w:t>，</w:t>
      </w:r>
      <w:r>
        <w:rPr>
          <w:rFonts w:hint="eastAsia" w:ascii="宋体" w:hAnsi="宋体"/>
          <w:sz w:val="24"/>
          <w:lang w:val="en-US" w:eastAsia="zh-Hans"/>
        </w:rPr>
        <w:t>乙方可成立一个项目公司负责出租房屋的整体运营管理</w:t>
      </w:r>
      <w:r>
        <w:rPr>
          <w:rFonts w:hint="default" w:ascii="宋体" w:hAnsi="宋体"/>
          <w:sz w:val="24"/>
          <w:lang w:eastAsia="zh-Hans"/>
        </w:rPr>
        <w:t>，</w:t>
      </w:r>
      <w:r>
        <w:rPr>
          <w:rFonts w:hint="eastAsia" w:ascii="宋体" w:hAnsi="宋体"/>
          <w:sz w:val="24"/>
        </w:rPr>
        <w:t>若乙方成立项目公司的，乙方及其项目公司应当共同履行本协议项下乙方义务</w:t>
      </w:r>
      <w:r>
        <w:rPr>
          <w:rFonts w:ascii="宋体" w:hAnsi="宋体"/>
          <w:sz w:val="24"/>
        </w:rPr>
        <w:t>，</w:t>
      </w:r>
      <w:r>
        <w:rPr>
          <w:rFonts w:hint="eastAsia" w:ascii="宋体" w:hAnsi="宋体"/>
          <w:sz w:val="24"/>
        </w:rPr>
        <w:t>项目公司必须为乙方全资子公司，工商</w:t>
      </w:r>
      <w:r>
        <w:rPr>
          <w:rFonts w:ascii="宋体" w:hAnsi="宋体"/>
          <w:sz w:val="24"/>
        </w:rPr>
        <w:t>、</w:t>
      </w:r>
      <w:r>
        <w:rPr>
          <w:rFonts w:hint="eastAsia" w:ascii="宋体" w:hAnsi="宋体"/>
          <w:sz w:val="24"/>
        </w:rPr>
        <w:t>税务注册地址位于钱江世纪城范围内。未经甲方同意</w:t>
      </w:r>
      <w:r>
        <w:rPr>
          <w:rFonts w:ascii="宋体" w:hAnsi="宋体"/>
          <w:sz w:val="24"/>
        </w:rPr>
        <w:t>，</w:t>
      </w:r>
      <w:r>
        <w:rPr>
          <w:rFonts w:hint="eastAsia" w:ascii="宋体" w:hAnsi="宋体"/>
          <w:sz w:val="24"/>
        </w:rPr>
        <w:t>不得擅自转让项目公司股权</w:t>
      </w:r>
      <w:r>
        <w:rPr>
          <w:rFonts w:ascii="宋体" w:hAnsi="宋体"/>
          <w:sz w:val="24"/>
        </w:rPr>
        <w:t>，</w:t>
      </w:r>
      <w:r>
        <w:rPr>
          <w:rFonts w:hint="eastAsia" w:ascii="宋体" w:hAnsi="宋体"/>
          <w:sz w:val="24"/>
        </w:rPr>
        <w:t>不得将项目公司工商</w:t>
      </w:r>
      <w:r>
        <w:rPr>
          <w:rFonts w:ascii="宋体" w:hAnsi="宋体"/>
          <w:sz w:val="24"/>
        </w:rPr>
        <w:t>、</w:t>
      </w:r>
      <w:r>
        <w:rPr>
          <w:rFonts w:hint="eastAsia" w:ascii="宋体" w:hAnsi="宋体"/>
          <w:sz w:val="24"/>
        </w:rPr>
        <w:t>税务注册地址迁离钱江世纪城范围。</w:t>
      </w:r>
      <w:r>
        <w:rPr>
          <w:rFonts w:hint="eastAsia" w:ascii="宋体" w:hAnsi="宋体"/>
          <w:sz w:val="24"/>
          <w:lang w:val="en-US" w:eastAsia="zh-Hans"/>
        </w:rPr>
        <w:t>乙方按前述约定成立项目公司负责运营管理的</w:t>
      </w:r>
      <w:r>
        <w:rPr>
          <w:rFonts w:hint="default" w:ascii="宋体" w:hAnsi="宋体"/>
          <w:sz w:val="24"/>
          <w:lang w:eastAsia="zh-Hans"/>
        </w:rPr>
        <w:t>，</w:t>
      </w:r>
      <w:r>
        <w:rPr>
          <w:rFonts w:hint="eastAsia" w:ascii="宋体" w:hAnsi="宋体"/>
          <w:sz w:val="24"/>
          <w:lang w:val="en-US" w:eastAsia="zh-Hans"/>
        </w:rPr>
        <w:t>不视为乙方对标的物整体出租或转租</w:t>
      </w:r>
      <w:r>
        <w:rPr>
          <w:rFonts w:hint="default" w:ascii="宋体" w:hAnsi="宋体"/>
          <w:sz w:val="24"/>
          <w:lang w:eastAsia="zh-Hans"/>
        </w:rPr>
        <w:t>。</w:t>
      </w:r>
    </w:p>
    <w:p>
      <w:pPr>
        <w:spacing w:line="550" w:lineRule="exact"/>
        <w:ind w:firstLine="480" w:firstLineChars="200"/>
        <w:rPr>
          <w:rFonts w:ascii="宋体" w:hAnsi="宋体"/>
          <w:sz w:val="24"/>
        </w:rPr>
      </w:pPr>
      <w:r>
        <w:rPr>
          <w:rFonts w:hint="eastAsia" w:ascii="宋体" w:hAnsi="宋体"/>
          <w:b w:val="0"/>
          <w:bCs/>
          <w:sz w:val="24"/>
        </w:rPr>
        <w:t>2</w:t>
      </w:r>
      <w:r>
        <w:rPr>
          <w:rFonts w:hint="eastAsia" w:ascii="宋体" w:hAnsi="宋体"/>
          <w:sz w:val="24"/>
        </w:rPr>
        <w:t>、乙方应在2023年</w:t>
      </w:r>
      <w:r>
        <w:rPr>
          <w:rFonts w:hint="eastAsia" w:ascii="宋体" w:hAnsi="宋体"/>
          <w:sz w:val="24"/>
          <w:lang w:val="en-US" w:eastAsia="zh-CN"/>
        </w:rPr>
        <w:t>12月31日</w:t>
      </w:r>
      <w:r>
        <w:rPr>
          <w:rFonts w:hint="eastAsia" w:ascii="宋体" w:hAnsi="宋体"/>
          <w:sz w:val="24"/>
        </w:rPr>
        <w:t>前完成出租房屋装修等前期工作，使出租房屋具备净菜超市开业条件。</w:t>
      </w:r>
    </w:p>
    <w:p>
      <w:pPr>
        <w:snapToGrid w:val="0"/>
        <w:spacing w:line="550" w:lineRule="exact"/>
        <w:ind w:firstLine="480" w:firstLineChars="200"/>
        <w:rPr>
          <w:rFonts w:ascii="宋体" w:hAnsi="宋体"/>
          <w:sz w:val="24"/>
        </w:rPr>
      </w:pPr>
      <w:r>
        <w:rPr>
          <w:rFonts w:hint="eastAsia" w:ascii="宋体" w:hAnsi="宋体"/>
          <w:sz w:val="24"/>
        </w:rPr>
        <w:t>3、本项目十年租金为     元(含税）。</w:t>
      </w:r>
    </w:p>
    <w:p>
      <w:pPr>
        <w:snapToGrid w:val="0"/>
        <w:spacing w:line="55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本项目按照合同规定的范围开展净菜超市装修（含报批、设计、施工、监理、检测、验收等）、停车场收费事宜的报批、摊位招租、市场招商、日常运营管理等各项工作所需要的全部费用由乙方承担，包括租赁期间所有成本、利润、风险、税费，如装修费、水电费（含一部自动扶梯及四部电梯）、设施设备维护费（含一部自动扶梯及四部电梯）、物业费、管理费等。租赁期间市场内摊位费、临时摊位费、水电费等，均由乙方自行收取和管理。地下二层停车场收费标准不得高于政府投资公共停车场最新文件要求</w:t>
      </w:r>
      <w:r>
        <w:rPr>
          <w:rFonts w:asciiTheme="minorEastAsia" w:hAnsiTheme="minorEastAsia" w:eastAsiaTheme="minorEastAsia"/>
          <w:sz w:val="24"/>
        </w:rPr>
        <w:t>，</w:t>
      </w:r>
      <w:r>
        <w:rPr>
          <w:rFonts w:hint="eastAsia" w:asciiTheme="minorEastAsia" w:hAnsiTheme="minorEastAsia" w:eastAsiaTheme="minorEastAsia"/>
          <w:sz w:val="24"/>
        </w:rPr>
        <w:t>期间文件发生调整的</w:t>
      </w:r>
      <w:r>
        <w:rPr>
          <w:rFonts w:asciiTheme="minorEastAsia" w:hAnsiTheme="minorEastAsia" w:eastAsiaTheme="minorEastAsia"/>
          <w:sz w:val="24"/>
        </w:rPr>
        <w:t>，</w:t>
      </w:r>
      <w:r>
        <w:rPr>
          <w:rFonts w:hint="eastAsia" w:asciiTheme="minorEastAsia" w:hAnsiTheme="minorEastAsia" w:eastAsiaTheme="minorEastAsia"/>
          <w:sz w:val="24"/>
        </w:rPr>
        <w:t>按届时最新文件要求执行。</w:t>
      </w:r>
    </w:p>
    <w:p>
      <w:pPr>
        <w:snapToGrid w:val="0"/>
        <w:spacing w:line="550" w:lineRule="exact"/>
        <w:ind w:firstLine="480" w:firstLineChars="200"/>
      </w:pPr>
      <w:r>
        <w:rPr>
          <w:rFonts w:hint="eastAsia" w:asciiTheme="minorEastAsia" w:hAnsiTheme="minorEastAsia" w:eastAsiaTheme="minorEastAsia"/>
          <w:sz w:val="24"/>
        </w:rPr>
        <w:t>5、租金支付方式：每年应支付租金公式为：当年年租金=拍租中标金额/十年租金评估值之</w:t>
      </w:r>
      <w:r>
        <w:rPr>
          <w:rFonts w:hint="eastAsia" w:asciiTheme="minorEastAsia" w:hAnsiTheme="minorEastAsia" w:eastAsiaTheme="minorEastAsia"/>
          <w:sz w:val="24"/>
          <w:lang w:val="en-US" w:eastAsia="zh-Hans"/>
        </w:rPr>
        <w:t>和</w:t>
      </w:r>
      <w:r>
        <w:rPr>
          <w:rFonts w:hint="eastAsia" w:asciiTheme="minorEastAsia" w:hAnsiTheme="minorEastAsia" w:eastAsiaTheme="minorEastAsia"/>
          <w:sz w:val="24"/>
        </w:rPr>
        <w:t>*当年合计年租金评估值。租金每年支付一次，第一年租金在本协议签订后五个工作日内支付完成，以后每期支付在</w:t>
      </w:r>
      <w:r>
        <w:rPr>
          <w:rFonts w:hint="eastAsia" w:asciiTheme="minorEastAsia" w:hAnsiTheme="minorEastAsia" w:eastAsiaTheme="minorEastAsia"/>
          <w:sz w:val="24"/>
          <w:lang w:val="en-US" w:eastAsia="zh-CN"/>
        </w:rPr>
        <w:t>租期</w:t>
      </w:r>
      <w:r>
        <w:rPr>
          <w:rFonts w:hint="eastAsia" w:asciiTheme="minorEastAsia" w:hAnsiTheme="minorEastAsia" w:eastAsiaTheme="minorEastAsia"/>
          <w:sz w:val="24"/>
        </w:rPr>
        <w:t>开始前十个工作日支付（详见附件一）。</w:t>
      </w:r>
    </w:p>
    <w:p>
      <w:pPr>
        <w:snapToGrid w:val="0"/>
        <w:spacing w:line="550" w:lineRule="exact"/>
        <w:ind w:firstLine="480" w:firstLineChars="200"/>
        <w:rPr>
          <w:rFonts w:cs="宋体" w:asciiTheme="minorEastAsia" w:hAnsiTheme="minorEastAsia" w:eastAsiaTheme="minorEastAsia"/>
          <w:sz w:val="24"/>
        </w:rPr>
      </w:pPr>
      <w:r>
        <w:rPr>
          <w:rFonts w:hint="eastAsia" w:asciiTheme="minorEastAsia" w:hAnsiTheme="minorEastAsia" w:eastAsiaTheme="minorEastAsia"/>
          <w:sz w:val="24"/>
        </w:rPr>
        <w:t>6、履约保证金：乙方在成交之日起5个工作日内与甲方签订合同，并于签订合同之日起5个工作日内向甲方指定账户支付履约保证金，</w:t>
      </w:r>
      <w:r>
        <w:rPr>
          <w:rFonts w:hint="eastAsia" w:cs="宋体" w:asciiTheme="minorEastAsia" w:hAnsiTheme="minorEastAsia" w:eastAsiaTheme="minorEastAsia"/>
          <w:sz w:val="24"/>
        </w:rPr>
        <w:t>按照十年租金之和的2</w:t>
      </w:r>
      <w:r>
        <w:rPr>
          <w:rFonts w:cs="宋体" w:asciiTheme="minorEastAsia" w:hAnsiTheme="minorEastAsia" w:eastAsiaTheme="minorEastAsia"/>
          <w:sz w:val="24"/>
        </w:rPr>
        <w:t>%</w:t>
      </w:r>
      <w:r>
        <w:rPr>
          <w:rFonts w:hint="eastAsia" w:cs="宋体" w:asciiTheme="minorEastAsia" w:hAnsiTheme="minorEastAsia" w:eastAsiaTheme="minorEastAsia"/>
          <w:sz w:val="24"/>
        </w:rPr>
        <w:t>计收，在甲方确认乙方按本合同第八条要求移交后，三个月内无息退还。乙方在服务期内因各种原因被扣除履约保证金的，扣除部分应在下一年度的租金缴纳时补足。</w:t>
      </w:r>
    </w:p>
    <w:p>
      <w:pPr>
        <w:spacing w:line="550" w:lineRule="exact"/>
        <w:jc w:val="left"/>
        <w:rPr>
          <w:rFonts w:ascii="宋体" w:hAnsi="宋体"/>
          <w:b/>
          <w:bCs/>
          <w:sz w:val="24"/>
        </w:rPr>
      </w:pPr>
      <w:r>
        <w:rPr>
          <w:rFonts w:hint="eastAsia" w:ascii="宋体" w:hAnsi="宋体"/>
          <w:b/>
          <w:bCs/>
          <w:sz w:val="24"/>
        </w:rPr>
        <w:t>第四条 各方责任及保证</w:t>
      </w:r>
    </w:p>
    <w:p>
      <w:pPr>
        <w:spacing w:line="550" w:lineRule="exact"/>
        <w:ind w:firstLine="480" w:firstLineChars="200"/>
        <w:rPr>
          <w:rFonts w:ascii="宋体" w:hAnsi="宋体"/>
          <w:sz w:val="24"/>
        </w:rPr>
      </w:pPr>
      <w:r>
        <w:rPr>
          <w:rFonts w:hint="eastAsia" w:ascii="宋体" w:hAnsi="宋体"/>
          <w:sz w:val="24"/>
        </w:rPr>
        <w:t>1、在经营管理过程中，因非甲方原因造成的各类纠纷由乙方自行处理，与甲方无关，而产生的法律费用、赔偿金等各类费用均由乙方承担，</w:t>
      </w:r>
      <w:r>
        <w:rPr>
          <w:rFonts w:hint="eastAsia" w:ascii="宋体" w:hAnsi="宋体" w:eastAsia="宋体" w:cs="Times New Roman"/>
          <w:sz w:val="24"/>
        </w:rPr>
        <w:t>如乙方违反上述经营责任承诺而导致甲方对其他任何第三方承担责任发生损失的，甲方有权向乙方追偿</w:t>
      </w:r>
      <w:r>
        <w:rPr>
          <w:rFonts w:hint="eastAsia" w:ascii="宋体" w:hAnsi="宋体"/>
          <w:sz w:val="24"/>
        </w:rPr>
        <w:t>。</w:t>
      </w:r>
    </w:p>
    <w:p>
      <w:pPr>
        <w:spacing w:line="550" w:lineRule="exact"/>
        <w:ind w:firstLine="480" w:firstLineChars="200"/>
        <w:rPr>
          <w:rFonts w:ascii="宋体" w:hAnsi="宋体"/>
          <w:sz w:val="24"/>
        </w:rPr>
      </w:pPr>
      <w:r>
        <w:rPr>
          <w:rFonts w:hint="eastAsia" w:ascii="宋体" w:hAnsi="宋体"/>
          <w:sz w:val="24"/>
        </w:rPr>
        <w:t>2、在本合同有效期内，若甲方需要转让</w:t>
      </w:r>
      <w:r>
        <w:rPr>
          <w:rFonts w:ascii="宋体" w:hAnsi="宋体"/>
          <w:sz w:val="24"/>
        </w:rPr>
        <w:t>、</w:t>
      </w:r>
      <w:r>
        <w:rPr>
          <w:rFonts w:hint="eastAsia" w:ascii="宋体" w:hAnsi="宋体"/>
          <w:sz w:val="24"/>
        </w:rPr>
        <w:t>抵押出租房屋的，</w:t>
      </w:r>
      <w:r>
        <w:rPr>
          <w:rFonts w:hint="eastAsia" w:ascii="宋体" w:hAnsi="宋体" w:eastAsiaTheme="minorEastAsia"/>
          <w:sz w:val="24"/>
        </w:rPr>
        <w:t>乙方</w:t>
      </w:r>
      <w:r>
        <w:rPr>
          <w:rFonts w:hint="eastAsia" w:ascii="宋体" w:hAnsi="宋体"/>
          <w:sz w:val="24"/>
        </w:rPr>
        <w:t>须无条件配合</w:t>
      </w:r>
      <w:r>
        <w:rPr>
          <w:rFonts w:ascii="宋体" w:hAnsi="宋体"/>
          <w:sz w:val="24"/>
        </w:rPr>
        <w:t>，</w:t>
      </w:r>
      <w:r>
        <w:rPr>
          <w:rFonts w:hint="eastAsia" w:ascii="宋体" w:hAnsi="宋体"/>
          <w:sz w:val="24"/>
        </w:rPr>
        <w:t>但甲方应保证</w:t>
      </w:r>
      <w:r>
        <w:rPr>
          <w:rFonts w:hint="eastAsia" w:ascii="宋体" w:hAnsi="宋体" w:eastAsiaTheme="minorEastAsia"/>
          <w:sz w:val="24"/>
        </w:rPr>
        <w:t>乙方</w:t>
      </w:r>
      <w:r>
        <w:rPr>
          <w:rFonts w:hint="eastAsia" w:ascii="宋体" w:hAnsi="宋体"/>
          <w:sz w:val="24"/>
        </w:rPr>
        <w:t>在本合同项下的权利义务不受影响， 且出租房屋的受让人须承担甲方在本合同项下的权利义务。</w:t>
      </w:r>
    </w:p>
    <w:p>
      <w:pPr>
        <w:spacing w:line="55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出租房屋在保修期内的主体部分保修由甲方负责与原主体施工企业对接</w:t>
      </w:r>
      <w:r>
        <w:rPr>
          <w:rFonts w:ascii="宋体" w:hAnsi="宋体"/>
          <w:sz w:val="24"/>
        </w:rPr>
        <w:t>，</w:t>
      </w:r>
      <w:r>
        <w:rPr>
          <w:rFonts w:hint="eastAsia" w:ascii="宋体" w:hAnsi="宋体"/>
          <w:sz w:val="24"/>
        </w:rPr>
        <w:t>非主体部分维修以及保修期满后的主体部分维修均由</w:t>
      </w:r>
      <w:r>
        <w:rPr>
          <w:rFonts w:hint="eastAsia" w:ascii="宋体" w:hAnsi="宋体" w:eastAsiaTheme="minorEastAsia"/>
          <w:sz w:val="24"/>
        </w:rPr>
        <w:t>乙方</w:t>
      </w:r>
      <w:r>
        <w:rPr>
          <w:rFonts w:hint="eastAsia" w:ascii="宋体" w:hAnsi="宋体"/>
          <w:sz w:val="24"/>
        </w:rPr>
        <w:t>负责并承担费用</w:t>
      </w:r>
      <w:r>
        <w:rPr>
          <w:rFonts w:ascii="宋体" w:hAnsi="宋体"/>
          <w:sz w:val="24"/>
        </w:rPr>
        <w:t>。</w:t>
      </w:r>
    </w:p>
    <w:p>
      <w:pPr>
        <w:spacing w:line="55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出租房屋本身以及经营所需的财产险、 公众责任险、 机器设备损坏险等由乙方负责投保</w:t>
      </w:r>
      <w:r>
        <w:rPr>
          <w:rFonts w:ascii="宋体" w:hAnsi="宋体"/>
          <w:sz w:val="24"/>
        </w:rPr>
        <w:t>，</w:t>
      </w:r>
      <w:r>
        <w:rPr>
          <w:rFonts w:hint="eastAsia" w:ascii="宋体" w:hAnsi="宋体"/>
          <w:sz w:val="24"/>
        </w:rPr>
        <w:t>保险受益人须为甲方</w:t>
      </w:r>
      <w:r>
        <w:rPr>
          <w:rFonts w:ascii="宋体" w:hAnsi="宋体"/>
          <w:sz w:val="24"/>
        </w:rPr>
        <w:t>，</w:t>
      </w:r>
      <w:r>
        <w:rPr>
          <w:rFonts w:hint="eastAsia" w:ascii="宋体" w:hAnsi="宋体" w:eastAsiaTheme="minorEastAsia"/>
          <w:sz w:val="24"/>
        </w:rPr>
        <w:t>乙方</w:t>
      </w:r>
      <w:r>
        <w:rPr>
          <w:rFonts w:hint="eastAsia" w:ascii="宋体" w:hAnsi="宋体"/>
          <w:sz w:val="24"/>
        </w:rPr>
        <w:t>投保后应将保单交甲方备案</w:t>
      </w:r>
      <w:r>
        <w:rPr>
          <w:rFonts w:ascii="宋体" w:hAnsi="宋体"/>
          <w:sz w:val="24"/>
        </w:rPr>
        <w:t>。</w:t>
      </w:r>
      <w:r>
        <w:rPr>
          <w:rFonts w:hint="eastAsia" w:ascii="宋体" w:hAnsi="宋体"/>
          <w:sz w:val="24"/>
        </w:rPr>
        <w:t>保险期限届满的</w:t>
      </w:r>
      <w:r>
        <w:rPr>
          <w:rFonts w:ascii="宋体" w:hAnsi="宋体"/>
          <w:sz w:val="24"/>
        </w:rPr>
        <w:t>，</w:t>
      </w:r>
      <w:r>
        <w:rPr>
          <w:rFonts w:hint="eastAsia" w:ascii="宋体" w:hAnsi="宋体" w:eastAsiaTheme="minorEastAsia"/>
          <w:sz w:val="24"/>
        </w:rPr>
        <w:t>乙方</w:t>
      </w:r>
      <w:r>
        <w:rPr>
          <w:rFonts w:hint="eastAsia" w:ascii="宋体" w:hAnsi="宋体"/>
          <w:sz w:val="24"/>
        </w:rPr>
        <w:t>应及时续保</w:t>
      </w:r>
      <w:r>
        <w:rPr>
          <w:rFonts w:ascii="宋体" w:hAnsi="宋体"/>
          <w:sz w:val="24"/>
        </w:rPr>
        <w:t>。</w:t>
      </w:r>
      <w:r>
        <w:rPr>
          <w:rFonts w:hint="eastAsia" w:ascii="宋体" w:hAnsi="宋体"/>
          <w:sz w:val="24"/>
        </w:rPr>
        <w:t>因</w:t>
      </w:r>
      <w:r>
        <w:rPr>
          <w:rFonts w:hint="eastAsia" w:ascii="宋体" w:hAnsi="宋体" w:eastAsiaTheme="minorEastAsia"/>
          <w:sz w:val="24"/>
        </w:rPr>
        <w:t>乙方</w:t>
      </w:r>
      <w:r>
        <w:rPr>
          <w:rFonts w:hint="eastAsia" w:ascii="宋体" w:hAnsi="宋体"/>
          <w:sz w:val="24"/>
        </w:rPr>
        <w:t>未及时购买保险造成损失的</w:t>
      </w:r>
      <w:r>
        <w:rPr>
          <w:rFonts w:ascii="宋体" w:hAnsi="宋体"/>
          <w:sz w:val="24"/>
        </w:rPr>
        <w:t>，</w:t>
      </w:r>
      <w:r>
        <w:rPr>
          <w:rFonts w:hint="eastAsia" w:ascii="宋体" w:hAnsi="宋体"/>
          <w:sz w:val="24"/>
        </w:rPr>
        <w:t>由</w:t>
      </w:r>
      <w:r>
        <w:rPr>
          <w:rFonts w:hint="eastAsia" w:ascii="宋体" w:hAnsi="宋体" w:eastAsiaTheme="minorEastAsia"/>
          <w:sz w:val="24"/>
        </w:rPr>
        <w:t>乙方</w:t>
      </w:r>
      <w:r>
        <w:rPr>
          <w:rFonts w:hint="eastAsia" w:ascii="宋体" w:hAnsi="宋体"/>
          <w:sz w:val="24"/>
        </w:rPr>
        <w:t>承担</w:t>
      </w:r>
      <w:r>
        <w:rPr>
          <w:rFonts w:ascii="宋体" w:hAnsi="宋体"/>
          <w:sz w:val="24"/>
        </w:rPr>
        <w:t>。</w:t>
      </w:r>
    </w:p>
    <w:p>
      <w:pPr>
        <w:spacing w:line="550" w:lineRule="exact"/>
        <w:ind w:firstLine="480" w:firstLineChars="2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5、乙方</w:t>
      </w:r>
      <w:r>
        <w:rPr>
          <w:rFonts w:cs="宋体" w:asciiTheme="minorEastAsia" w:hAnsiTheme="minorEastAsia" w:eastAsiaTheme="minorEastAsia"/>
          <w:sz w:val="24"/>
          <w:szCs w:val="20"/>
        </w:rPr>
        <w:t>对</w:t>
      </w:r>
      <w:r>
        <w:rPr>
          <w:rFonts w:hint="eastAsia" w:cs="宋体" w:asciiTheme="minorEastAsia" w:hAnsiTheme="minorEastAsia" w:eastAsiaTheme="minorEastAsia"/>
          <w:sz w:val="24"/>
          <w:szCs w:val="20"/>
        </w:rPr>
        <w:t>出租房屋的</w:t>
      </w:r>
      <w:r>
        <w:rPr>
          <w:rFonts w:cs="宋体" w:asciiTheme="minorEastAsia" w:hAnsiTheme="minorEastAsia" w:eastAsiaTheme="minorEastAsia"/>
          <w:sz w:val="24"/>
          <w:szCs w:val="20"/>
        </w:rPr>
        <w:t>所有改造</w:t>
      </w:r>
      <w:r>
        <w:rPr>
          <w:rFonts w:hint="eastAsia" w:cs="宋体" w:asciiTheme="minorEastAsia" w:hAnsiTheme="minorEastAsia" w:eastAsiaTheme="minorEastAsia"/>
          <w:sz w:val="24"/>
          <w:szCs w:val="20"/>
        </w:rPr>
        <w:t>、</w:t>
      </w:r>
      <w:r>
        <w:rPr>
          <w:rFonts w:cs="宋体" w:asciiTheme="minorEastAsia" w:hAnsiTheme="minorEastAsia" w:eastAsiaTheme="minorEastAsia"/>
          <w:sz w:val="24"/>
          <w:szCs w:val="20"/>
        </w:rPr>
        <w:t>装饰装修等所形成的附合资产</w:t>
      </w:r>
      <w:r>
        <w:rPr>
          <w:rFonts w:hint="eastAsia" w:cs="宋体" w:asciiTheme="minorEastAsia" w:hAnsiTheme="minorEastAsia" w:eastAsiaTheme="minorEastAsia"/>
          <w:sz w:val="24"/>
          <w:szCs w:val="20"/>
        </w:rPr>
        <w:t>（不含可拆除可移动的设施设备</w:t>
      </w:r>
      <w:r>
        <w:rPr>
          <w:rFonts w:hint="default" w:cs="宋体" w:asciiTheme="minorEastAsia" w:hAnsiTheme="minorEastAsia" w:eastAsiaTheme="minorEastAsia"/>
          <w:sz w:val="24"/>
          <w:szCs w:val="20"/>
        </w:rPr>
        <w:t>、</w:t>
      </w:r>
      <w:r>
        <w:rPr>
          <w:rFonts w:hint="eastAsia" w:cs="宋体" w:asciiTheme="minorEastAsia" w:hAnsiTheme="minorEastAsia" w:eastAsiaTheme="minorEastAsia"/>
          <w:sz w:val="24"/>
          <w:szCs w:val="20"/>
        </w:rPr>
        <w:t>装修附着物）在本合同提前解除或租赁期限届满后</w:t>
      </w:r>
      <w:r>
        <w:rPr>
          <w:rFonts w:cs="宋体" w:asciiTheme="minorEastAsia" w:hAnsiTheme="minorEastAsia" w:eastAsiaTheme="minorEastAsia"/>
          <w:sz w:val="24"/>
          <w:szCs w:val="20"/>
        </w:rPr>
        <w:t>最终归</w:t>
      </w:r>
      <w:r>
        <w:rPr>
          <w:rFonts w:hint="eastAsia" w:cs="宋体" w:asciiTheme="minorEastAsia" w:hAnsiTheme="minorEastAsia" w:eastAsiaTheme="minorEastAsia"/>
          <w:sz w:val="24"/>
          <w:szCs w:val="20"/>
        </w:rPr>
        <w:t>甲方</w:t>
      </w:r>
      <w:r>
        <w:rPr>
          <w:rFonts w:cs="宋体" w:asciiTheme="minorEastAsia" w:hAnsiTheme="minorEastAsia" w:eastAsiaTheme="minorEastAsia"/>
          <w:sz w:val="24"/>
          <w:szCs w:val="20"/>
        </w:rPr>
        <w:t>所有</w:t>
      </w:r>
      <w:r>
        <w:rPr>
          <w:rFonts w:hint="eastAsia" w:cs="宋体" w:asciiTheme="minorEastAsia" w:hAnsiTheme="minorEastAsia" w:eastAsiaTheme="minorEastAsia"/>
          <w:sz w:val="24"/>
          <w:szCs w:val="20"/>
        </w:rPr>
        <w:t>，</w:t>
      </w:r>
      <w:r>
        <w:rPr>
          <w:rFonts w:cs="宋体" w:asciiTheme="minorEastAsia" w:hAnsiTheme="minorEastAsia" w:eastAsiaTheme="minorEastAsia"/>
          <w:sz w:val="24"/>
          <w:szCs w:val="20"/>
        </w:rPr>
        <w:t>甲方对</w:t>
      </w:r>
      <w:r>
        <w:rPr>
          <w:rFonts w:hint="eastAsia" w:cs="宋体" w:asciiTheme="minorEastAsia" w:hAnsiTheme="minorEastAsia" w:eastAsiaTheme="minorEastAsia"/>
          <w:sz w:val="24"/>
          <w:szCs w:val="20"/>
        </w:rPr>
        <w:t>乙方</w:t>
      </w:r>
      <w:r>
        <w:rPr>
          <w:rFonts w:cs="宋体" w:asciiTheme="minorEastAsia" w:hAnsiTheme="minorEastAsia" w:eastAsiaTheme="minorEastAsia"/>
          <w:sz w:val="24"/>
          <w:szCs w:val="20"/>
        </w:rPr>
        <w:t>的投入不做补偿</w:t>
      </w:r>
      <w:r>
        <w:rPr>
          <w:rFonts w:hint="eastAsia" w:cs="宋体" w:asciiTheme="minorEastAsia" w:hAnsiTheme="minorEastAsia" w:eastAsiaTheme="minorEastAsia"/>
          <w:sz w:val="24"/>
          <w:szCs w:val="20"/>
        </w:rPr>
        <w:t>。</w:t>
      </w:r>
    </w:p>
    <w:p>
      <w:pPr>
        <w:spacing w:line="550" w:lineRule="exact"/>
        <w:ind w:firstLine="480" w:firstLineChars="2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6、为保证净菜超市及地下停车场的正常运营，乙方应严格保证项目正常经营管理，未经甲方同意不得改变净菜超市使用性质，净菜超市的面积不得少于2000方，不得对停车场（含充电桩）进行改造。乙方市场招商、摊位招租不得对标的物整体出租，且出租期限不得大于中标人的租赁期限。对承租户租金收取原则最长不超过一年一收，乙方需转租的，应书面向甲方提出申请，经甲方同意后方可转租。</w:t>
      </w:r>
    </w:p>
    <w:p>
      <w:pPr>
        <w:snapToGrid w:val="0"/>
        <w:spacing w:line="55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w:t>
      </w:r>
      <w:r>
        <w:rPr>
          <w:rFonts w:hint="eastAsia" w:cs="宋体" w:asciiTheme="minorEastAsia" w:hAnsiTheme="minorEastAsia" w:eastAsiaTheme="minorEastAsia"/>
          <w:sz w:val="24"/>
          <w:szCs w:val="20"/>
        </w:rPr>
        <w:t>出租房屋</w:t>
      </w:r>
      <w:r>
        <w:rPr>
          <w:rFonts w:hint="eastAsia" w:asciiTheme="minorEastAsia" w:hAnsiTheme="minorEastAsia" w:eastAsiaTheme="minorEastAsia"/>
          <w:sz w:val="24"/>
        </w:rPr>
        <w:t>接收</w:t>
      </w:r>
      <w:r>
        <w:rPr>
          <w:rFonts w:asciiTheme="minorEastAsia" w:hAnsiTheme="minorEastAsia" w:eastAsiaTheme="minorEastAsia"/>
          <w:sz w:val="24"/>
        </w:rPr>
        <w:t>时以现状交接，</w:t>
      </w:r>
      <w:r>
        <w:rPr>
          <w:rFonts w:hint="eastAsia" w:asciiTheme="minorEastAsia" w:hAnsiTheme="minorEastAsia" w:eastAsiaTheme="minorEastAsia"/>
          <w:sz w:val="24"/>
        </w:rPr>
        <w:t>乙方</w:t>
      </w:r>
      <w:r>
        <w:rPr>
          <w:rFonts w:asciiTheme="minorEastAsia" w:hAnsiTheme="minorEastAsia" w:eastAsiaTheme="minorEastAsia"/>
          <w:sz w:val="24"/>
        </w:rPr>
        <w:t>参与</w:t>
      </w:r>
      <w:r>
        <w:rPr>
          <w:rFonts w:hint="eastAsia" w:asciiTheme="minorEastAsia" w:hAnsiTheme="minorEastAsia" w:eastAsiaTheme="minorEastAsia"/>
          <w:sz w:val="24"/>
        </w:rPr>
        <w:t>投标时</w:t>
      </w:r>
      <w:r>
        <w:rPr>
          <w:rFonts w:asciiTheme="minorEastAsia" w:hAnsiTheme="minorEastAsia" w:eastAsiaTheme="minorEastAsia"/>
          <w:sz w:val="24"/>
        </w:rPr>
        <w:t>视为已经实地踏勘，对</w:t>
      </w:r>
      <w:r>
        <w:rPr>
          <w:rFonts w:hint="eastAsia" w:asciiTheme="minorEastAsia" w:hAnsiTheme="minorEastAsia" w:eastAsiaTheme="minorEastAsia"/>
          <w:sz w:val="24"/>
        </w:rPr>
        <w:t>出租房屋</w:t>
      </w:r>
      <w:r>
        <w:rPr>
          <w:rFonts w:asciiTheme="minorEastAsia" w:hAnsiTheme="minorEastAsia" w:eastAsiaTheme="minorEastAsia"/>
          <w:sz w:val="24"/>
        </w:rPr>
        <w:t>的范围、面积、现状均无异议</w:t>
      </w:r>
      <w:r>
        <w:rPr>
          <w:rFonts w:hint="eastAsia" w:asciiTheme="minorEastAsia" w:hAnsiTheme="minorEastAsia" w:eastAsiaTheme="minorEastAsia"/>
          <w:sz w:val="24"/>
        </w:rPr>
        <w:t>；项目交接后，乙方自行负责安排装修设计、施工、监理、检测以及城管、市场监管等相关报批，并通过住建、消防等各相关部门审批、验收合格后方可营业。乙方应保证在</w:t>
      </w:r>
      <w:r>
        <w:rPr>
          <w:rFonts w:asciiTheme="minorEastAsia" w:hAnsiTheme="minorEastAsia" w:eastAsiaTheme="minorEastAsia"/>
          <w:sz w:val="24"/>
        </w:rPr>
        <w:t>不影响房屋承重结构基础上进行内部</w:t>
      </w:r>
      <w:r>
        <w:rPr>
          <w:rFonts w:hint="eastAsia" w:asciiTheme="minorEastAsia" w:hAnsiTheme="minorEastAsia" w:eastAsiaTheme="minorEastAsia"/>
          <w:sz w:val="24"/>
        </w:rPr>
        <w:t>装修</w:t>
      </w:r>
      <w:r>
        <w:rPr>
          <w:rFonts w:asciiTheme="minorEastAsia" w:hAnsiTheme="minorEastAsia" w:eastAsiaTheme="minorEastAsia"/>
          <w:sz w:val="24"/>
        </w:rPr>
        <w:t>。</w:t>
      </w:r>
    </w:p>
    <w:p>
      <w:pPr>
        <w:snapToGrid w:val="0"/>
        <w:spacing w:line="55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8、租赁</w:t>
      </w:r>
      <w:r>
        <w:rPr>
          <w:rFonts w:asciiTheme="minorEastAsia" w:hAnsiTheme="minorEastAsia" w:eastAsiaTheme="minorEastAsia"/>
          <w:sz w:val="24"/>
        </w:rPr>
        <w:t>期</w:t>
      </w:r>
      <w:r>
        <w:rPr>
          <w:rFonts w:hint="eastAsia" w:asciiTheme="minorEastAsia" w:hAnsiTheme="minorEastAsia" w:eastAsiaTheme="minorEastAsia"/>
          <w:sz w:val="24"/>
        </w:rPr>
        <w:t>内</w:t>
      </w:r>
      <w:r>
        <w:rPr>
          <w:rFonts w:asciiTheme="minorEastAsia" w:hAnsiTheme="minorEastAsia" w:eastAsiaTheme="minorEastAsia"/>
          <w:sz w:val="24"/>
        </w:rPr>
        <w:t>，</w:t>
      </w:r>
      <w:r>
        <w:rPr>
          <w:rFonts w:hint="eastAsia" w:asciiTheme="minorEastAsia" w:hAnsiTheme="minorEastAsia" w:eastAsiaTheme="minorEastAsia"/>
          <w:sz w:val="24"/>
        </w:rPr>
        <w:t>出租房屋</w:t>
      </w:r>
      <w:r>
        <w:rPr>
          <w:rFonts w:asciiTheme="minorEastAsia" w:hAnsiTheme="minorEastAsia" w:eastAsiaTheme="minorEastAsia"/>
          <w:sz w:val="24"/>
        </w:rPr>
        <w:t>发生的</w:t>
      </w:r>
      <w:r>
        <w:rPr>
          <w:rFonts w:hint="eastAsia" w:asciiTheme="minorEastAsia" w:hAnsiTheme="minorEastAsia" w:eastAsiaTheme="minorEastAsia"/>
          <w:sz w:val="24"/>
        </w:rPr>
        <w:t>装修费、水电费、</w:t>
      </w:r>
      <w:r>
        <w:rPr>
          <w:rFonts w:asciiTheme="minorEastAsia" w:hAnsiTheme="minorEastAsia" w:eastAsiaTheme="minorEastAsia"/>
          <w:sz w:val="24"/>
        </w:rPr>
        <w:t>燃气</w:t>
      </w:r>
      <w:r>
        <w:rPr>
          <w:rFonts w:hint="eastAsia" w:asciiTheme="minorEastAsia" w:hAnsiTheme="minorEastAsia" w:eastAsiaTheme="minorEastAsia"/>
          <w:sz w:val="24"/>
        </w:rPr>
        <w:t>费</w:t>
      </w:r>
      <w:r>
        <w:rPr>
          <w:rFonts w:asciiTheme="minorEastAsia" w:hAnsiTheme="minorEastAsia" w:eastAsiaTheme="minorEastAsia"/>
          <w:sz w:val="24"/>
        </w:rPr>
        <w:t>、通讯</w:t>
      </w:r>
      <w:r>
        <w:rPr>
          <w:rFonts w:hint="eastAsia" w:asciiTheme="minorEastAsia" w:hAnsiTheme="minorEastAsia" w:eastAsiaTheme="minorEastAsia"/>
          <w:sz w:val="24"/>
        </w:rPr>
        <w:t>费</w:t>
      </w:r>
      <w:r>
        <w:rPr>
          <w:rFonts w:asciiTheme="minorEastAsia" w:hAnsiTheme="minorEastAsia" w:eastAsiaTheme="minorEastAsia"/>
          <w:sz w:val="24"/>
        </w:rPr>
        <w:t>、</w:t>
      </w:r>
      <w:r>
        <w:rPr>
          <w:rFonts w:hint="eastAsia" w:asciiTheme="minorEastAsia" w:hAnsiTheme="minorEastAsia" w:eastAsiaTheme="minorEastAsia"/>
          <w:sz w:val="24"/>
        </w:rPr>
        <w:t>设施设备维护费、物业费、管理费</w:t>
      </w:r>
      <w:r>
        <w:rPr>
          <w:rFonts w:asciiTheme="minorEastAsia" w:hAnsiTheme="minorEastAsia" w:eastAsiaTheme="minorEastAsia"/>
          <w:sz w:val="24"/>
        </w:rPr>
        <w:t>等以及其他相关费用，</w:t>
      </w:r>
      <w:r>
        <w:rPr>
          <w:rFonts w:hint="eastAsia" w:asciiTheme="minorEastAsia" w:hAnsiTheme="minorEastAsia" w:eastAsiaTheme="minorEastAsia"/>
          <w:sz w:val="24"/>
        </w:rPr>
        <w:t>均</w:t>
      </w:r>
      <w:r>
        <w:rPr>
          <w:rFonts w:asciiTheme="minorEastAsia" w:hAnsiTheme="minorEastAsia" w:eastAsiaTheme="minorEastAsia"/>
          <w:sz w:val="24"/>
        </w:rPr>
        <w:t>由</w:t>
      </w:r>
      <w:r>
        <w:rPr>
          <w:rFonts w:hint="eastAsia" w:asciiTheme="minorEastAsia" w:hAnsiTheme="minorEastAsia" w:eastAsiaTheme="minorEastAsia"/>
          <w:sz w:val="24"/>
        </w:rPr>
        <w:t>乙方</w:t>
      </w:r>
      <w:r>
        <w:rPr>
          <w:rFonts w:asciiTheme="minorEastAsia" w:hAnsiTheme="minorEastAsia" w:eastAsiaTheme="minorEastAsia"/>
          <w:sz w:val="24"/>
        </w:rPr>
        <w:t>承担</w:t>
      </w:r>
      <w:r>
        <w:rPr>
          <w:rFonts w:hint="eastAsia" w:asciiTheme="minorEastAsia" w:hAnsiTheme="minorEastAsia" w:eastAsiaTheme="minorEastAsia"/>
          <w:sz w:val="24"/>
        </w:rPr>
        <w:t>。</w:t>
      </w:r>
    </w:p>
    <w:p>
      <w:pPr>
        <w:snapToGrid w:val="0"/>
        <w:spacing w:line="55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9、租赁期</w:t>
      </w:r>
      <w:r>
        <w:rPr>
          <w:rFonts w:asciiTheme="minorEastAsia" w:hAnsiTheme="minorEastAsia" w:eastAsiaTheme="minorEastAsia"/>
          <w:sz w:val="24"/>
        </w:rPr>
        <w:t>内</w:t>
      </w:r>
      <w:r>
        <w:rPr>
          <w:rFonts w:hint="eastAsia" w:asciiTheme="minorEastAsia" w:hAnsiTheme="minorEastAsia" w:eastAsiaTheme="minorEastAsia"/>
          <w:sz w:val="24"/>
        </w:rPr>
        <w:t>，乙方应负责对设施设备进行维护维修，并自行承担由此产生的相应费用。</w:t>
      </w:r>
    </w:p>
    <w:p>
      <w:pPr>
        <w:snapToGrid w:val="0"/>
        <w:spacing w:line="55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10、乙方</w:t>
      </w:r>
      <w:r>
        <w:rPr>
          <w:rFonts w:asciiTheme="minorEastAsia" w:hAnsiTheme="minorEastAsia" w:eastAsiaTheme="minorEastAsia"/>
          <w:sz w:val="24"/>
        </w:rPr>
        <w:t>应严格按照政府相关规定和要求制定消防、安全措施和配备相关设施。</w:t>
      </w:r>
    </w:p>
    <w:p>
      <w:pPr>
        <w:snapToGrid w:val="0"/>
        <w:spacing w:line="55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11、乙方</w:t>
      </w:r>
      <w:r>
        <w:rPr>
          <w:rFonts w:asciiTheme="minorEastAsia" w:hAnsiTheme="minorEastAsia" w:eastAsiaTheme="minorEastAsia"/>
          <w:sz w:val="24"/>
        </w:rPr>
        <w:t>在</w:t>
      </w:r>
      <w:r>
        <w:rPr>
          <w:rFonts w:hint="eastAsia" w:asciiTheme="minorEastAsia" w:hAnsiTheme="minorEastAsia" w:eastAsiaTheme="minorEastAsia"/>
          <w:sz w:val="24"/>
        </w:rPr>
        <w:t>租赁期</w:t>
      </w:r>
      <w:r>
        <w:rPr>
          <w:rFonts w:asciiTheme="minorEastAsia" w:hAnsiTheme="minorEastAsia" w:eastAsiaTheme="minorEastAsia"/>
          <w:sz w:val="24"/>
        </w:rPr>
        <w:t>内，应保证室内和室外环境卫生整洁，做好停车场报批、年审、停车系统、道闸维护等各项工作，保持车辆停放有序，安全措施到位。</w:t>
      </w:r>
    </w:p>
    <w:p>
      <w:pPr>
        <w:snapToGrid w:val="0"/>
        <w:spacing w:line="55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12、乙方应做好相关的排污、排水、排气、油烟等的配套设施，并需符合政府的有关规定要求。</w:t>
      </w:r>
    </w:p>
    <w:p>
      <w:pPr>
        <w:snapToGrid w:val="0"/>
        <w:spacing w:line="55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13、乙方自行负责其招聘员工的一切工资、福利；如发生工伤、疾病乃至死亡的一切责任及费用由乙方全部负责；同时乙方应严格遵守国家有关承租人的法律、法规及行业标准。</w:t>
      </w:r>
    </w:p>
    <w:p>
      <w:pPr>
        <w:snapToGrid w:val="0"/>
        <w:spacing w:line="55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14、租赁期内若因乙方管理不善，收到相关职能部门批评通报的造成重大恶劣影响或经甲方多次提醒整改未整改到位的，甲方有权一次性扣除所有履约保证金，并解除本合同</w:t>
      </w:r>
      <w:r>
        <w:rPr>
          <w:rFonts w:asciiTheme="minorEastAsia" w:hAnsiTheme="minorEastAsia" w:eastAsiaTheme="minorEastAsia"/>
          <w:sz w:val="24"/>
        </w:rPr>
        <w:t>，</w:t>
      </w:r>
      <w:r>
        <w:rPr>
          <w:rFonts w:hint="eastAsia" w:asciiTheme="minorEastAsia" w:hAnsiTheme="minorEastAsia" w:eastAsiaTheme="minorEastAsia"/>
          <w:sz w:val="24"/>
        </w:rPr>
        <w:t>履约保证金不足以弥补甲方损失的</w:t>
      </w:r>
      <w:r>
        <w:rPr>
          <w:rFonts w:asciiTheme="minorEastAsia" w:hAnsiTheme="minorEastAsia" w:eastAsiaTheme="minorEastAsia"/>
          <w:sz w:val="24"/>
        </w:rPr>
        <w:t>，</w:t>
      </w:r>
      <w:r>
        <w:rPr>
          <w:rFonts w:hint="eastAsia" w:asciiTheme="minorEastAsia" w:hAnsiTheme="minorEastAsia" w:eastAsiaTheme="minorEastAsia"/>
          <w:sz w:val="24"/>
        </w:rPr>
        <w:t>乙方应按甲方实际损失进行赔偿。</w:t>
      </w:r>
    </w:p>
    <w:p>
      <w:pPr>
        <w:snapToGrid w:val="0"/>
        <w:spacing w:line="55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15、未经甲方同意乙方不得利用市场内的空间从事市场定位业务之外的经营活动，在特殊时期乙方应能服从政府的要求保证净菜超市相关业务的正常供应。</w:t>
      </w:r>
    </w:p>
    <w:p>
      <w:pPr>
        <w:snapToGrid w:val="0"/>
        <w:spacing w:line="55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w:t>
      </w:r>
      <w:r>
        <w:rPr>
          <w:rFonts w:hint="eastAsia" w:asciiTheme="minorEastAsia" w:hAnsiTheme="minorEastAsia" w:eastAsiaTheme="minorEastAsia"/>
          <w:sz w:val="24"/>
        </w:rPr>
        <w:t>乙方在租赁期内</w:t>
      </w:r>
      <w:r>
        <w:rPr>
          <w:rFonts w:asciiTheme="minorEastAsia" w:hAnsiTheme="minorEastAsia" w:eastAsiaTheme="minorEastAsia"/>
          <w:sz w:val="24"/>
        </w:rPr>
        <w:t>要遵守有关法律法规，服从</w:t>
      </w:r>
      <w:r>
        <w:rPr>
          <w:rFonts w:hint="eastAsia" w:asciiTheme="minorEastAsia" w:hAnsiTheme="minorEastAsia" w:eastAsiaTheme="minorEastAsia"/>
          <w:sz w:val="24"/>
        </w:rPr>
        <w:t>甲方</w:t>
      </w:r>
      <w:r>
        <w:rPr>
          <w:rFonts w:asciiTheme="minorEastAsia" w:hAnsiTheme="minorEastAsia" w:eastAsiaTheme="minorEastAsia"/>
          <w:sz w:val="24"/>
        </w:rPr>
        <w:t>管理工作，</w:t>
      </w:r>
      <w:r>
        <w:rPr>
          <w:rFonts w:hint="eastAsia" w:asciiTheme="minorEastAsia" w:hAnsiTheme="minorEastAsia" w:eastAsiaTheme="minorEastAsia"/>
          <w:sz w:val="24"/>
        </w:rPr>
        <w:t>甲方要求乙方整改的</w:t>
      </w:r>
      <w:r>
        <w:rPr>
          <w:rFonts w:asciiTheme="minorEastAsia" w:hAnsiTheme="minorEastAsia" w:eastAsiaTheme="minorEastAsia"/>
          <w:sz w:val="24"/>
        </w:rPr>
        <w:t>，</w:t>
      </w:r>
      <w:r>
        <w:rPr>
          <w:rFonts w:hint="eastAsia" w:asciiTheme="minorEastAsia" w:hAnsiTheme="minorEastAsia" w:eastAsiaTheme="minorEastAsia"/>
          <w:sz w:val="24"/>
        </w:rPr>
        <w:t>乙方应当及时整改。</w:t>
      </w:r>
    </w:p>
    <w:p>
      <w:pPr>
        <w:spacing w:line="550" w:lineRule="exact"/>
        <w:jc w:val="left"/>
        <w:rPr>
          <w:rFonts w:ascii="宋体" w:hAnsi="宋体"/>
          <w:b/>
          <w:bCs/>
          <w:sz w:val="24"/>
        </w:rPr>
      </w:pPr>
      <w:r>
        <w:rPr>
          <w:rFonts w:hint="eastAsia" w:ascii="宋体" w:hAnsi="宋体"/>
          <w:b/>
          <w:bCs/>
          <w:sz w:val="24"/>
        </w:rPr>
        <w:t>第五条 招牌</w:t>
      </w:r>
      <w:r>
        <w:rPr>
          <w:rFonts w:ascii="宋体" w:hAnsi="宋体"/>
          <w:b/>
          <w:bCs/>
          <w:sz w:val="24"/>
        </w:rPr>
        <w:t>、</w:t>
      </w:r>
      <w:r>
        <w:rPr>
          <w:rFonts w:hint="eastAsia" w:ascii="宋体" w:hAnsi="宋体"/>
          <w:b/>
          <w:bCs/>
          <w:sz w:val="24"/>
        </w:rPr>
        <w:t>广告位</w:t>
      </w:r>
    </w:p>
    <w:p>
      <w:pPr>
        <w:spacing w:line="550" w:lineRule="exact"/>
        <w:ind w:firstLine="480" w:firstLineChars="200"/>
        <w:rPr>
          <w:rFonts w:ascii="宋体" w:hAnsi="宋体"/>
          <w:sz w:val="24"/>
        </w:rPr>
      </w:pPr>
      <w:r>
        <w:rPr>
          <w:rFonts w:hint="eastAsia" w:ascii="宋体" w:hAnsi="宋体"/>
          <w:sz w:val="24"/>
        </w:rPr>
        <w:t>租赁期内</w:t>
      </w:r>
      <w:r>
        <w:rPr>
          <w:rFonts w:ascii="宋体" w:hAnsi="宋体"/>
          <w:sz w:val="24"/>
        </w:rPr>
        <w:t>，</w:t>
      </w:r>
      <w:r>
        <w:rPr>
          <w:rFonts w:hint="eastAsia" w:ascii="宋体" w:hAnsi="宋体" w:eastAsiaTheme="minorEastAsia"/>
          <w:sz w:val="24"/>
        </w:rPr>
        <w:t>乙方</w:t>
      </w:r>
      <w:r>
        <w:rPr>
          <w:rFonts w:hint="eastAsia" w:ascii="宋体" w:hAnsi="宋体"/>
          <w:sz w:val="24"/>
        </w:rPr>
        <w:t>应在符合当地政府城市管理部门要求和符合项目定位的条件下</w:t>
      </w:r>
      <w:r>
        <w:rPr>
          <w:rFonts w:ascii="宋体" w:hAnsi="宋体"/>
          <w:sz w:val="24"/>
        </w:rPr>
        <w:t>，</w:t>
      </w:r>
      <w:r>
        <w:rPr>
          <w:rFonts w:hint="eastAsia" w:ascii="宋体" w:hAnsi="宋体"/>
          <w:sz w:val="24"/>
        </w:rPr>
        <w:t>在承租范围内设置和投放的招牌、广告</w:t>
      </w:r>
      <w:r>
        <w:rPr>
          <w:rFonts w:ascii="宋体" w:hAnsi="宋体"/>
          <w:sz w:val="24"/>
        </w:rPr>
        <w:t>。</w:t>
      </w:r>
      <w:r>
        <w:rPr>
          <w:rFonts w:hint="eastAsia" w:ascii="宋体" w:hAnsi="宋体"/>
          <w:sz w:val="24"/>
        </w:rPr>
        <w:t>如设置招牌</w:t>
      </w:r>
      <w:r>
        <w:rPr>
          <w:rFonts w:ascii="宋体" w:hAnsi="宋体"/>
          <w:sz w:val="24"/>
        </w:rPr>
        <w:t>、</w:t>
      </w:r>
      <w:r>
        <w:rPr>
          <w:rFonts w:hint="eastAsia" w:ascii="宋体" w:hAnsi="宋体"/>
          <w:sz w:val="24"/>
        </w:rPr>
        <w:t>广告位须办理政府审批手续的</w:t>
      </w:r>
      <w:r>
        <w:rPr>
          <w:rFonts w:ascii="宋体" w:hAnsi="宋体"/>
          <w:sz w:val="24"/>
        </w:rPr>
        <w:t>，</w:t>
      </w:r>
      <w:r>
        <w:rPr>
          <w:rFonts w:hint="eastAsia" w:ascii="宋体" w:hAnsi="宋体"/>
          <w:sz w:val="24"/>
        </w:rPr>
        <w:t>由</w:t>
      </w:r>
      <w:r>
        <w:rPr>
          <w:rFonts w:hint="eastAsia" w:ascii="宋体" w:hAnsi="宋体" w:eastAsiaTheme="minorEastAsia"/>
          <w:sz w:val="24"/>
        </w:rPr>
        <w:t>乙方</w:t>
      </w:r>
      <w:r>
        <w:rPr>
          <w:rFonts w:hint="eastAsia" w:ascii="宋体" w:hAnsi="宋体"/>
          <w:sz w:val="24"/>
        </w:rPr>
        <w:t>自行办理</w:t>
      </w:r>
      <w:r>
        <w:rPr>
          <w:rFonts w:ascii="宋体" w:hAnsi="宋体"/>
          <w:sz w:val="24"/>
        </w:rPr>
        <w:t>。</w:t>
      </w:r>
    </w:p>
    <w:p>
      <w:pPr>
        <w:spacing w:line="550" w:lineRule="exact"/>
        <w:jc w:val="left"/>
        <w:rPr>
          <w:rFonts w:ascii="宋体" w:hAnsi="宋体"/>
          <w:b/>
          <w:bCs/>
          <w:sz w:val="24"/>
        </w:rPr>
      </w:pPr>
      <w:r>
        <w:rPr>
          <w:rFonts w:hint="eastAsia" w:ascii="宋体" w:hAnsi="宋体"/>
          <w:b/>
          <w:bCs/>
          <w:sz w:val="24"/>
        </w:rPr>
        <w:t>第六条 知识产权保护</w:t>
      </w:r>
    </w:p>
    <w:p>
      <w:pPr>
        <w:spacing w:line="550" w:lineRule="exact"/>
        <w:ind w:firstLine="480" w:firstLineChars="200"/>
        <w:rPr>
          <w:rFonts w:ascii="宋体" w:hAnsi="宋体"/>
          <w:sz w:val="24"/>
        </w:rPr>
      </w:pPr>
      <w:r>
        <w:rPr>
          <w:rFonts w:ascii="宋体" w:hAnsi="宋体"/>
          <w:sz w:val="24"/>
        </w:rPr>
        <w:t>1、</w:t>
      </w:r>
      <w:r>
        <w:rPr>
          <w:rFonts w:hint="eastAsia" w:ascii="宋体" w:hAnsi="宋体"/>
          <w:sz w:val="24"/>
        </w:rPr>
        <w:t xml:space="preserve">本合同所述知识产权的范围包括商标专用权、 专利权、 著作权及商业秘密。 </w:t>
      </w:r>
      <w:r>
        <w:rPr>
          <w:rFonts w:hint="eastAsia" w:ascii="宋体" w:hAnsi="宋体" w:eastAsiaTheme="minorEastAsia"/>
          <w:sz w:val="24"/>
        </w:rPr>
        <w:t>乙方</w:t>
      </w:r>
      <w:r>
        <w:rPr>
          <w:rFonts w:hint="eastAsia" w:ascii="宋体" w:hAnsi="宋体"/>
          <w:sz w:val="24"/>
        </w:rPr>
        <w:t>独自享有其自身提供的用于出租房屋的上述知识产权的所有权及收益权。</w:t>
      </w:r>
    </w:p>
    <w:p>
      <w:pPr>
        <w:spacing w:line="550" w:lineRule="exact"/>
        <w:ind w:firstLine="480" w:firstLineChars="200"/>
        <w:rPr>
          <w:rFonts w:ascii="宋体" w:hAnsi="宋体"/>
          <w:sz w:val="24"/>
        </w:rPr>
      </w:pPr>
      <w:r>
        <w:rPr>
          <w:rFonts w:ascii="宋体" w:hAnsi="宋体"/>
          <w:sz w:val="24"/>
        </w:rPr>
        <w:t>2、</w:t>
      </w:r>
      <w:r>
        <w:rPr>
          <w:rFonts w:hint="eastAsia" w:ascii="宋体" w:hAnsi="宋体"/>
          <w:sz w:val="24"/>
        </w:rPr>
        <w:t>净菜超市</w:t>
      </w:r>
      <w:r>
        <w:rPr>
          <w:rFonts w:ascii="宋体" w:hAnsi="宋体"/>
          <w:sz w:val="24"/>
        </w:rPr>
        <w:t>命名</w:t>
      </w:r>
      <w:r>
        <w:rPr>
          <w:rFonts w:hint="eastAsia" w:ascii="宋体" w:hAnsi="宋体"/>
          <w:sz w:val="24"/>
        </w:rPr>
        <w:t>需经</w:t>
      </w:r>
      <w:r>
        <w:rPr>
          <w:rFonts w:ascii="宋体" w:hAnsi="宋体"/>
          <w:sz w:val="24"/>
        </w:rPr>
        <w:t>甲方</w:t>
      </w:r>
      <w:r>
        <w:rPr>
          <w:rFonts w:hint="eastAsia" w:ascii="宋体" w:hAnsi="宋体"/>
          <w:sz w:val="24"/>
        </w:rPr>
        <w:t>同意。</w:t>
      </w:r>
    </w:p>
    <w:p>
      <w:pPr>
        <w:spacing w:line="550" w:lineRule="exact"/>
        <w:jc w:val="left"/>
        <w:rPr>
          <w:rFonts w:ascii="宋体" w:hAnsi="宋体"/>
          <w:b/>
          <w:bCs/>
          <w:sz w:val="24"/>
        </w:rPr>
      </w:pPr>
      <w:r>
        <w:rPr>
          <w:rFonts w:hint="eastAsia" w:ascii="宋体" w:hAnsi="宋体"/>
          <w:b/>
          <w:bCs/>
          <w:sz w:val="24"/>
        </w:rPr>
        <w:t>第七条 保密</w:t>
      </w:r>
    </w:p>
    <w:p>
      <w:pPr>
        <w:spacing w:line="550" w:lineRule="exact"/>
        <w:ind w:firstLine="480" w:firstLineChars="200"/>
        <w:rPr>
          <w:rFonts w:ascii="宋体" w:hAnsi="宋体"/>
          <w:sz w:val="24"/>
        </w:rPr>
      </w:pPr>
      <w:r>
        <w:rPr>
          <w:rFonts w:hint="eastAsia" w:ascii="宋体" w:hAnsi="宋体"/>
          <w:sz w:val="24"/>
        </w:rPr>
        <w:t>1、各方为签署本合同以及根据本合同以书面、 口头、 电子文档或其他任何形式交换的任何与本次合作有关的资料或信息以及各方的专有资料或信息（包括但不限于出租房屋的规划建设方案、设计图纸、建设施工图纸、市场调查数据、招商策划和营销方案、年度财务预算以及经营管理计划等） 均为本合同项下的保密信息。</w:t>
      </w:r>
    </w:p>
    <w:p>
      <w:pPr>
        <w:spacing w:line="550" w:lineRule="exact"/>
        <w:ind w:firstLine="480" w:firstLineChars="200"/>
        <w:rPr>
          <w:rFonts w:ascii="宋体" w:hAnsi="宋体"/>
          <w:sz w:val="24"/>
        </w:rPr>
      </w:pPr>
      <w:r>
        <w:rPr>
          <w:rFonts w:hint="eastAsia" w:ascii="宋体" w:hAnsi="宋体"/>
          <w:sz w:val="24"/>
        </w:rPr>
        <w:t>2、自本合同签订之日起，各方应对保密信息承担保密义务， 未经对方事先书面同意，不得将保密信息向任何第三方披露（不包含向政府申报材料的需要）， 也不得将其用于与本合同目的无关的或不利于本合同目的的其他用途。</w:t>
      </w:r>
    </w:p>
    <w:p>
      <w:pPr>
        <w:spacing w:line="550" w:lineRule="exact"/>
        <w:ind w:firstLine="480" w:firstLineChars="200"/>
        <w:rPr>
          <w:rFonts w:ascii="宋体" w:hAnsi="宋体"/>
          <w:sz w:val="24"/>
        </w:rPr>
      </w:pPr>
      <w:r>
        <w:rPr>
          <w:rFonts w:hint="eastAsia" w:ascii="宋体" w:hAnsi="宋体"/>
          <w:sz w:val="24"/>
        </w:rPr>
        <w:t>3、 本合同终止时， 接受方应当依据披露方的要求将所获得的保密信息予以返还、 销毁或删除（视情况而定）。 该等保密义务在本合同终止后仍然继续有效。 任何一方因违反该等保密义务而给对方造成损失的， 均应赔偿对方的相应损失。</w:t>
      </w:r>
    </w:p>
    <w:p>
      <w:pPr>
        <w:spacing w:line="550" w:lineRule="exact"/>
        <w:jc w:val="left"/>
        <w:rPr>
          <w:rFonts w:ascii="宋体" w:hAnsi="宋体"/>
          <w:b/>
          <w:bCs/>
          <w:sz w:val="24"/>
        </w:rPr>
      </w:pPr>
      <w:r>
        <w:rPr>
          <w:rFonts w:hint="eastAsia" w:ascii="宋体" w:hAnsi="宋体"/>
          <w:b/>
          <w:bCs/>
          <w:sz w:val="24"/>
        </w:rPr>
        <w:t>第八条 移交</w:t>
      </w:r>
    </w:p>
    <w:p>
      <w:pPr>
        <w:spacing w:line="550" w:lineRule="exact"/>
        <w:ind w:firstLine="480" w:firstLineChars="200"/>
        <w:rPr>
          <w:rFonts w:ascii="宋体" w:hAnsi="宋体"/>
          <w:sz w:val="24"/>
        </w:rPr>
      </w:pPr>
      <w:r>
        <w:rPr>
          <w:rFonts w:hint="eastAsia" w:ascii="宋体" w:hAnsi="宋体"/>
          <w:sz w:val="24"/>
        </w:rPr>
        <w:t>1、本合同所称的移交是指：在本协议租赁期限届满或本合同提前解除后</w:t>
      </w:r>
      <w:r>
        <w:rPr>
          <w:rFonts w:hint="eastAsia" w:ascii="宋体" w:hAnsi="宋体"/>
          <w:sz w:val="24"/>
          <w:u w:val="single"/>
        </w:rPr>
        <w:t>30</w:t>
      </w:r>
      <w:r>
        <w:rPr>
          <w:rFonts w:hint="eastAsia" w:ascii="宋体" w:hAnsi="宋体"/>
          <w:sz w:val="24"/>
        </w:rPr>
        <w:t>日内，</w:t>
      </w:r>
      <w:r>
        <w:rPr>
          <w:rFonts w:hint="eastAsia" w:ascii="宋体" w:hAnsi="宋体" w:eastAsiaTheme="minorEastAsia"/>
          <w:sz w:val="24"/>
        </w:rPr>
        <w:t>乙方</w:t>
      </w:r>
      <w:r>
        <w:rPr>
          <w:rFonts w:hint="eastAsia" w:ascii="宋体" w:hAnsi="宋体"/>
          <w:sz w:val="24"/>
        </w:rPr>
        <w:t>应将出租房屋移交给甲方</w:t>
      </w:r>
      <w:r>
        <w:rPr>
          <w:rFonts w:ascii="宋体" w:hAnsi="宋体"/>
          <w:sz w:val="24"/>
        </w:rPr>
        <w:t>，并将</w:t>
      </w:r>
      <w:r>
        <w:rPr>
          <w:rFonts w:hint="eastAsia" w:ascii="宋体" w:hAnsi="宋体"/>
          <w:sz w:val="24"/>
          <w:lang w:val="en-US" w:eastAsia="zh-Hans"/>
        </w:rPr>
        <w:t>工商等</w:t>
      </w:r>
      <w:r>
        <w:rPr>
          <w:rFonts w:ascii="宋体" w:hAnsi="宋体"/>
          <w:sz w:val="24"/>
        </w:rPr>
        <w:t>注册地</w:t>
      </w:r>
      <w:r>
        <w:rPr>
          <w:rFonts w:hint="eastAsia" w:ascii="宋体" w:hAnsi="宋体"/>
          <w:sz w:val="24"/>
          <w:lang w:val="en-US" w:eastAsia="zh-Hans"/>
        </w:rPr>
        <w:t>址</w:t>
      </w:r>
      <w:r>
        <w:rPr>
          <w:rFonts w:ascii="宋体" w:hAnsi="宋体"/>
          <w:sz w:val="24"/>
        </w:rPr>
        <w:t>迁出</w:t>
      </w:r>
      <w:r>
        <w:rPr>
          <w:rFonts w:hint="eastAsia" w:ascii="宋体" w:hAnsi="宋体"/>
          <w:sz w:val="24"/>
          <w:lang w:val="en-US" w:eastAsia="zh-Hans"/>
        </w:rPr>
        <w:t>出租房屋所在地</w:t>
      </w:r>
      <w:r>
        <w:rPr>
          <w:rFonts w:ascii="宋体" w:hAnsi="宋体"/>
          <w:sz w:val="24"/>
        </w:rPr>
        <w:t>，</w:t>
      </w:r>
      <w:r>
        <w:rPr>
          <w:rFonts w:hint="eastAsia" w:ascii="宋体" w:hAnsi="宋体"/>
          <w:sz w:val="24"/>
        </w:rPr>
        <w:t>甲方无偿收回市场承包经营权及其配套的服务设施经营权。</w:t>
      </w:r>
      <w:r>
        <w:rPr>
          <w:rFonts w:hint="eastAsia" w:ascii="宋体" w:hAnsi="宋体" w:eastAsiaTheme="minorEastAsia"/>
          <w:sz w:val="24"/>
        </w:rPr>
        <w:t>乙方</w:t>
      </w:r>
      <w:r>
        <w:rPr>
          <w:rFonts w:hint="eastAsia" w:ascii="宋体" w:hAnsi="宋体"/>
          <w:sz w:val="24"/>
        </w:rPr>
        <w:t>对净菜超市创建装修，所投入的不可转移物品（如装修、装饰的设施结构）在服务期届满或本合同提前解除后统一无偿移交给甲方，不得拆除。乙方经甲方同意后对停车场（含充电桩）改造升级部分在服务期届满或本合同提前解除后</w:t>
      </w:r>
      <w:r>
        <w:rPr>
          <w:rFonts w:ascii="宋体" w:hAnsi="宋体"/>
          <w:sz w:val="24"/>
        </w:rPr>
        <w:t>30</w:t>
      </w:r>
      <w:r>
        <w:rPr>
          <w:rFonts w:hint="eastAsia" w:ascii="宋体" w:hAnsi="宋体"/>
          <w:sz w:val="24"/>
        </w:rPr>
        <w:t>日内统一无偿移交给甲方，不得拆除。移交时资产状况不得附加与资产有关的担保、租赁等债权债务关系。</w:t>
      </w:r>
    </w:p>
    <w:p>
      <w:pPr>
        <w:spacing w:line="550" w:lineRule="exact"/>
        <w:ind w:firstLine="480" w:firstLineChars="200"/>
        <w:rPr>
          <w:rFonts w:ascii="宋体" w:hAnsi="宋体"/>
          <w:sz w:val="24"/>
        </w:rPr>
      </w:pPr>
      <w:r>
        <w:rPr>
          <w:rFonts w:hint="eastAsia" w:ascii="宋体" w:hAnsi="宋体"/>
          <w:sz w:val="24"/>
        </w:rPr>
        <w:t>2、合同履行完毕</w:t>
      </w:r>
      <w:r>
        <w:rPr>
          <w:rFonts w:hint="eastAsia" w:ascii="宋体" w:hAnsi="宋体"/>
          <w:sz w:val="24"/>
          <w:lang w:val="en-US" w:eastAsia="zh-Hans"/>
        </w:rPr>
        <w:t>或</w:t>
      </w:r>
      <w:r>
        <w:rPr>
          <w:rFonts w:hint="eastAsia" w:ascii="宋体" w:hAnsi="宋体"/>
          <w:sz w:val="24"/>
        </w:rPr>
        <w:t>合同提前解除，乙方将租赁房屋移交甲方时的状态保障承诺：</w:t>
      </w:r>
      <w:r>
        <w:rPr>
          <w:rFonts w:hint="eastAsia" w:ascii="宋体" w:hAnsi="宋体" w:eastAsiaTheme="minorEastAsia"/>
          <w:sz w:val="24"/>
        </w:rPr>
        <w:t>乙方</w:t>
      </w:r>
      <w:r>
        <w:rPr>
          <w:rFonts w:hint="eastAsia" w:ascii="宋体" w:hAnsi="宋体"/>
          <w:sz w:val="24"/>
        </w:rPr>
        <w:t>保证对净菜超市的主体结构、电梯、设施、设备进行合理得当的维护，并保证项目移交时运行正常。</w:t>
      </w:r>
    </w:p>
    <w:p>
      <w:pPr>
        <w:spacing w:line="550" w:lineRule="exact"/>
        <w:ind w:firstLine="480" w:firstLineChars="200"/>
        <w:rPr>
          <w:rFonts w:ascii="宋体" w:hAnsi="宋体"/>
          <w:sz w:val="24"/>
        </w:rPr>
      </w:pPr>
      <w:r>
        <w:rPr>
          <w:rFonts w:hint="eastAsia" w:ascii="宋体" w:hAnsi="宋体"/>
          <w:sz w:val="24"/>
        </w:rPr>
        <w:t>3、项目的移交范围：运行良好，无任何债务负担的净菜超市整体。</w:t>
      </w:r>
    </w:p>
    <w:p>
      <w:pPr>
        <w:spacing w:line="550" w:lineRule="exact"/>
        <w:ind w:firstLine="480" w:firstLineChars="200"/>
        <w:rPr>
          <w:rFonts w:ascii="宋体" w:hAnsi="宋体"/>
          <w:sz w:val="24"/>
        </w:rPr>
      </w:pPr>
      <w:r>
        <w:rPr>
          <w:rFonts w:hint="eastAsia" w:ascii="宋体" w:hAnsi="宋体"/>
          <w:sz w:val="24"/>
        </w:rPr>
        <w:t>4、项目后期维护保障承诺：</w:t>
      </w:r>
      <w:r>
        <w:rPr>
          <w:rFonts w:hint="eastAsia" w:ascii="宋体" w:hAnsi="宋体" w:eastAsiaTheme="minorEastAsia"/>
          <w:sz w:val="24"/>
        </w:rPr>
        <w:t>乙方</w:t>
      </w:r>
      <w:r>
        <w:rPr>
          <w:rFonts w:hint="eastAsia" w:ascii="宋体" w:hAnsi="宋体"/>
          <w:sz w:val="24"/>
        </w:rPr>
        <w:t>要保证租赁期后期对净菜超市的主体结构、消防、水电设施等进行正常维护，并保证消防设施年检合格。</w:t>
      </w:r>
    </w:p>
    <w:p>
      <w:pPr>
        <w:spacing w:line="550" w:lineRule="exact"/>
        <w:jc w:val="left"/>
        <w:rPr>
          <w:rFonts w:ascii="宋体" w:hAnsi="宋体"/>
          <w:b/>
          <w:bCs/>
          <w:sz w:val="24"/>
        </w:rPr>
      </w:pPr>
      <w:r>
        <w:rPr>
          <w:rFonts w:hint="eastAsia" w:ascii="宋体" w:hAnsi="宋体"/>
          <w:b/>
          <w:bCs/>
          <w:sz w:val="24"/>
        </w:rPr>
        <w:t>第九条 移交的程序</w:t>
      </w:r>
    </w:p>
    <w:p>
      <w:pPr>
        <w:spacing w:line="550" w:lineRule="exact"/>
        <w:ind w:firstLine="480" w:firstLineChars="200"/>
        <w:rPr>
          <w:rFonts w:ascii="宋体" w:hAnsi="宋体"/>
          <w:sz w:val="24"/>
        </w:rPr>
      </w:pPr>
      <w:r>
        <w:rPr>
          <w:rFonts w:hint="eastAsia" w:ascii="宋体" w:hAnsi="宋体"/>
          <w:sz w:val="24"/>
        </w:rPr>
        <w:t>1、如果甲方在移交时认为净菜超市设施状况不符合双方事先认可的有关标准，则</w:t>
      </w:r>
      <w:r>
        <w:rPr>
          <w:rFonts w:hint="eastAsia" w:ascii="宋体" w:hAnsi="宋体" w:eastAsiaTheme="minorEastAsia"/>
          <w:sz w:val="24"/>
        </w:rPr>
        <w:t>乙方</w:t>
      </w:r>
      <w:r>
        <w:rPr>
          <w:rFonts w:hint="eastAsia" w:ascii="宋体" w:hAnsi="宋体"/>
          <w:sz w:val="24"/>
        </w:rPr>
        <w:t>需自负费用开展必要的维修和更新</w:t>
      </w:r>
      <w:r>
        <w:rPr>
          <w:rFonts w:ascii="宋体" w:hAnsi="宋体"/>
          <w:sz w:val="24"/>
        </w:rPr>
        <w:t>，</w:t>
      </w:r>
      <w:r>
        <w:rPr>
          <w:rFonts w:hint="eastAsia" w:ascii="宋体" w:hAnsi="宋体"/>
          <w:sz w:val="24"/>
        </w:rPr>
        <w:t>直至符合有关标准。如</w:t>
      </w:r>
      <w:r>
        <w:rPr>
          <w:rFonts w:hint="eastAsia" w:ascii="宋体" w:hAnsi="宋体" w:eastAsiaTheme="minorEastAsia"/>
          <w:sz w:val="24"/>
        </w:rPr>
        <w:t>乙方</w:t>
      </w:r>
      <w:r>
        <w:rPr>
          <w:rFonts w:hint="eastAsia" w:ascii="宋体" w:hAnsi="宋体"/>
          <w:sz w:val="24"/>
        </w:rPr>
        <w:t>不同意维修或更新，则甲方有权自行委托第三方进行必要的维修和更新</w:t>
      </w:r>
      <w:r>
        <w:rPr>
          <w:rFonts w:ascii="宋体" w:hAnsi="宋体"/>
          <w:sz w:val="24"/>
        </w:rPr>
        <w:t>，</w:t>
      </w:r>
      <w:r>
        <w:rPr>
          <w:rFonts w:hint="eastAsia" w:ascii="宋体" w:hAnsi="宋体"/>
          <w:sz w:val="24"/>
        </w:rPr>
        <w:t>相应费用由</w:t>
      </w:r>
      <w:r>
        <w:rPr>
          <w:rFonts w:hint="eastAsia" w:ascii="宋体" w:hAnsi="宋体" w:eastAsiaTheme="minorEastAsia"/>
          <w:sz w:val="24"/>
        </w:rPr>
        <w:t>乙方</w:t>
      </w:r>
      <w:r>
        <w:rPr>
          <w:rFonts w:hint="eastAsia" w:ascii="宋体" w:hAnsi="宋体"/>
          <w:sz w:val="24"/>
        </w:rPr>
        <w:t>承担</w:t>
      </w:r>
      <w:r>
        <w:rPr>
          <w:rFonts w:ascii="宋体" w:hAnsi="宋体"/>
          <w:sz w:val="24"/>
        </w:rPr>
        <w:t>，</w:t>
      </w:r>
      <w:r>
        <w:rPr>
          <w:rFonts w:hint="eastAsia" w:ascii="宋体" w:hAnsi="宋体"/>
          <w:sz w:val="24"/>
        </w:rPr>
        <w:t>甲方可直接从履约保证金中扣除</w:t>
      </w:r>
      <w:r>
        <w:rPr>
          <w:rFonts w:ascii="宋体" w:hAnsi="宋体"/>
          <w:sz w:val="24"/>
        </w:rPr>
        <w:t>。</w:t>
      </w:r>
    </w:p>
    <w:p>
      <w:pPr>
        <w:spacing w:line="550" w:lineRule="exact"/>
        <w:ind w:firstLine="480" w:firstLineChars="200"/>
        <w:rPr>
          <w:rFonts w:ascii="宋体" w:hAnsi="宋体"/>
          <w:sz w:val="24"/>
        </w:rPr>
      </w:pPr>
      <w:r>
        <w:rPr>
          <w:rFonts w:hint="eastAsia" w:ascii="宋体" w:hAnsi="宋体"/>
          <w:sz w:val="24"/>
        </w:rPr>
        <w:t>2、甲方应当于移交日前安排好有关人员接收净菜超市，在甲方认可</w:t>
      </w:r>
      <w:r>
        <w:rPr>
          <w:rFonts w:hint="eastAsia" w:ascii="宋体" w:hAnsi="宋体" w:eastAsiaTheme="minorEastAsia"/>
          <w:sz w:val="24"/>
        </w:rPr>
        <w:t>乙方</w:t>
      </w:r>
      <w:r>
        <w:rPr>
          <w:rFonts w:hint="eastAsia" w:ascii="宋体" w:hAnsi="宋体"/>
          <w:sz w:val="24"/>
        </w:rPr>
        <w:t>所移交净菜超市符合标准，办理有关手续后净菜超市的使用权正式移交给甲方，移交后就净菜超市的使用</w:t>
      </w:r>
      <w:r>
        <w:rPr>
          <w:rFonts w:hint="eastAsia" w:ascii="宋体" w:hAnsi="宋体" w:eastAsiaTheme="minorEastAsia"/>
          <w:sz w:val="24"/>
        </w:rPr>
        <w:t>乙方</w:t>
      </w:r>
      <w:r>
        <w:rPr>
          <w:rFonts w:hint="eastAsia" w:ascii="宋体" w:hAnsi="宋体"/>
          <w:sz w:val="24"/>
        </w:rPr>
        <w:t>不再承担任何责任</w:t>
      </w:r>
      <w:r>
        <w:rPr>
          <w:rFonts w:ascii="宋体" w:hAnsi="宋体"/>
          <w:sz w:val="24"/>
        </w:rPr>
        <w:t>，</w:t>
      </w:r>
      <w:r>
        <w:rPr>
          <w:rFonts w:hint="eastAsia" w:ascii="宋体" w:hAnsi="宋体"/>
          <w:sz w:val="24"/>
        </w:rPr>
        <w:t>但因</w:t>
      </w:r>
      <w:r>
        <w:rPr>
          <w:rFonts w:hint="eastAsia" w:ascii="宋体" w:hAnsi="宋体" w:eastAsiaTheme="minorEastAsia"/>
          <w:sz w:val="24"/>
        </w:rPr>
        <w:t>乙方</w:t>
      </w:r>
      <w:r>
        <w:rPr>
          <w:rFonts w:hint="eastAsia" w:ascii="宋体" w:hAnsi="宋体"/>
          <w:sz w:val="24"/>
        </w:rPr>
        <w:t>经营管理发生的纠纷仍由</w:t>
      </w:r>
      <w:r>
        <w:rPr>
          <w:rFonts w:hint="eastAsia" w:ascii="宋体" w:hAnsi="宋体" w:eastAsiaTheme="minorEastAsia"/>
          <w:sz w:val="24"/>
        </w:rPr>
        <w:t>乙方</w:t>
      </w:r>
      <w:r>
        <w:rPr>
          <w:rFonts w:hint="eastAsia" w:ascii="宋体" w:hAnsi="宋体"/>
          <w:sz w:val="24"/>
        </w:rPr>
        <w:t>负责处理</w:t>
      </w:r>
      <w:r>
        <w:rPr>
          <w:rFonts w:ascii="宋体" w:hAnsi="宋体"/>
          <w:sz w:val="24"/>
        </w:rPr>
        <w:t>，</w:t>
      </w:r>
      <w:r>
        <w:rPr>
          <w:rFonts w:hint="eastAsia" w:ascii="宋体" w:hAnsi="宋体"/>
          <w:sz w:val="24"/>
        </w:rPr>
        <w:t>甲方不承担责任。</w:t>
      </w:r>
    </w:p>
    <w:p>
      <w:pPr>
        <w:spacing w:line="550" w:lineRule="exact"/>
        <w:jc w:val="left"/>
        <w:rPr>
          <w:rFonts w:ascii="宋体" w:hAnsi="宋体"/>
          <w:b/>
          <w:bCs/>
          <w:sz w:val="24"/>
        </w:rPr>
      </w:pPr>
      <w:r>
        <w:rPr>
          <w:rFonts w:hint="eastAsia" w:ascii="宋体" w:hAnsi="宋体"/>
          <w:b/>
          <w:bCs/>
          <w:sz w:val="24"/>
        </w:rPr>
        <w:t>第十条 违约责任</w:t>
      </w:r>
    </w:p>
    <w:p>
      <w:pPr>
        <w:spacing w:line="550" w:lineRule="exact"/>
        <w:ind w:firstLine="480" w:firstLineChars="200"/>
        <w:rPr>
          <w:rFonts w:ascii="宋体" w:hAnsi="宋体"/>
          <w:sz w:val="24"/>
        </w:rPr>
      </w:pPr>
      <w:r>
        <w:rPr>
          <w:rFonts w:hint="eastAsia" w:ascii="宋体" w:hAnsi="宋体"/>
          <w:sz w:val="24"/>
        </w:rPr>
        <w:t>1、如出租房屋在租赁期限内发生被政府依法征地、拆迁、市政统一规划等需要动迁的情形的，</w:t>
      </w:r>
      <w:r>
        <w:rPr>
          <w:rFonts w:hint="eastAsia" w:ascii="宋体" w:hAnsi="宋体" w:eastAsiaTheme="minorEastAsia"/>
          <w:sz w:val="24"/>
        </w:rPr>
        <w:t>乙方</w:t>
      </w:r>
      <w:r>
        <w:rPr>
          <w:rFonts w:hint="eastAsia" w:ascii="宋体" w:hAnsi="宋体"/>
          <w:sz w:val="24"/>
        </w:rPr>
        <w:t>应无条件配合</w:t>
      </w:r>
      <w:r>
        <w:rPr>
          <w:rFonts w:ascii="宋体" w:hAnsi="宋体"/>
          <w:sz w:val="24"/>
        </w:rPr>
        <w:t>，</w:t>
      </w:r>
      <w:r>
        <w:rPr>
          <w:rFonts w:hint="eastAsia" w:ascii="宋体" w:hAnsi="宋体"/>
          <w:sz w:val="24"/>
        </w:rPr>
        <w:t>自收到动迁通知之日起本合同自动终止，各方均不构成违约。拆迁赔偿、补偿</w:t>
      </w:r>
      <w:r>
        <w:rPr>
          <w:rFonts w:ascii="宋体" w:hAnsi="宋体"/>
          <w:sz w:val="24"/>
        </w:rPr>
        <w:t>（</w:t>
      </w:r>
      <w:r>
        <w:rPr>
          <w:rFonts w:hint="eastAsia" w:ascii="宋体" w:hAnsi="宋体"/>
          <w:sz w:val="24"/>
        </w:rPr>
        <w:t>如有</w:t>
      </w:r>
      <w:r>
        <w:rPr>
          <w:rFonts w:ascii="宋体" w:hAnsi="宋体"/>
          <w:sz w:val="24"/>
        </w:rPr>
        <w:t>）</w:t>
      </w:r>
      <w:r>
        <w:rPr>
          <w:rFonts w:hint="eastAsia" w:ascii="宋体" w:hAnsi="宋体"/>
          <w:sz w:val="24"/>
        </w:rPr>
        <w:t>中涉及土地、房屋的款项以及附属物</w:t>
      </w:r>
      <w:r>
        <w:rPr>
          <w:rFonts w:ascii="宋体" w:hAnsi="宋体"/>
          <w:sz w:val="24"/>
        </w:rPr>
        <w:t>、</w:t>
      </w:r>
      <w:r>
        <w:rPr>
          <w:rFonts w:hint="eastAsia" w:ascii="宋体" w:hAnsi="宋体"/>
          <w:sz w:val="24"/>
        </w:rPr>
        <w:t>配套建设等甲方投入部分的补偿、奖励归甲方所有，与</w:t>
      </w:r>
      <w:r>
        <w:rPr>
          <w:rFonts w:hint="eastAsia" w:ascii="宋体" w:hAnsi="宋体" w:eastAsiaTheme="minorEastAsia"/>
          <w:sz w:val="24"/>
        </w:rPr>
        <w:t>乙方</w:t>
      </w:r>
      <w:r>
        <w:rPr>
          <w:rFonts w:hint="eastAsia" w:ascii="宋体" w:hAnsi="宋体"/>
          <w:sz w:val="24"/>
        </w:rPr>
        <w:t>有关的装修补偿款</w:t>
      </w:r>
      <w:r>
        <w:rPr>
          <w:rFonts w:ascii="宋体" w:hAnsi="宋体"/>
          <w:sz w:val="24"/>
        </w:rPr>
        <w:t>、</w:t>
      </w:r>
      <w:r>
        <w:rPr>
          <w:rFonts w:hint="eastAsia" w:ascii="宋体" w:hAnsi="宋体"/>
          <w:sz w:val="24"/>
        </w:rPr>
        <w:t>搬迁费等补偿款归</w:t>
      </w:r>
      <w:r>
        <w:rPr>
          <w:rFonts w:hint="eastAsia" w:ascii="宋体" w:hAnsi="宋体" w:eastAsiaTheme="minorEastAsia"/>
          <w:sz w:val="24"/>
        </w:rPr>
        <w:t>乙方</w:t>
      </w:r>
      <w:r>
        <w:rPr>
          <w:rFonts w:hint="eastAsia" w:ascii="宋体" w:hAnsi="宋体"/>
          <w:sz w:val="24"/>
        </w:rPr>
        <w:t>所有</w:t>
      </w:r>
      <w:r>
        <w:rPr>
          <w:rFonts w:ascii="宋体" w:hAnsi="宋体"/>
          <w:sz w:val="24"/>
        </w:rPr>
        <w:t>，</w:t>
      </w:r>
      <w:r>
        <w:rPr>
          <w:rFonts w:hint="eastAsia" w:ascii="宋体" w:hAnsi="宋体"/>
          <w:sz w:val="24"/>
        </w:rPr>
        <w:t>同时</w:t>
      </w:r>
      <w:r>
        <w:rPr>
          <w:rFonts w:hint="eastAsia" w:ascii="宋体" w:hAnsi="宋体" w:eastAsiaTheme="minorEastAsia"/>
          <w:sz w:val="24"/>
        </w:rPr>
        <w:t>乙方</w:t>
      </w:r>
      <w:r>
        <w:rPr>
          <w:rFonts w:hint="eastAsia" w:ascii="宋体" w:hAnsi="宋体"/>
          <w:sz w:val="24"/>
        </w:rPr>
        <w:t>与商户或第三方之间的纠纷由</w:t>
      </w:r>
      <w:r>
        <w:rPr>
          <w:rFonts w:hint="eastAsia" w:ascii="宋体" w:hAnsi="宋体" w:eastAsiaTheme="minorEastAsia"/>
          <w:sz w:val="24"/>
        </w:rPr>
        <w:t>乙方</w:t>
      </w:r>
      <w:r>
        <w:rPr>
          <w:rFonts w:hint="eastAsia" w:ascii="宋体" w:hAnsi="宋体"/>
          <w:sz w:val="24"/>
        </w:rPr>
        <w:t>自行处理</w:t>
      </w:r>
      <w:r>
        <w:rPr>
          <w:rFonts w:ascii="宋体" w:hAnsi="宋体"/>
          <w:sz w:val="24"/>
        </w:rPr>
        <w:t>，</w:t>
      </w:r>
      <w:r>
        <w:rPr>
          <w:rFonts w:hint="eastAsia" w:ascii="宋体" w:hAnsi="宋体"/>
          <w:sz w:val="24"/>
        </w:rPr>
        <w:t>与甲方无关。</w:t>
      </w:r>
    </w:p>
    <w:p>
      <w:pPr>
        <w:spacing w:line="550" w:lineRule="exact"/>
        <w:ind w:firstLine="480" w:firstLineChars="200"/>
        <w:rPr>
          <w:rFonts w:ascii="宋体" w:hAnsi="宋体"/>
          <w:sz w:val="24"/>
        </w:rPr>
      </w:pPr>
      <w:r>
        <w:rPr>
          <w:rFonts w:hint="eastAsia" w:ascii="宋体" w:hAnsi="宋体"/>
          <w:sz w:val="24"/>
        </w:rPr>
        <w:t>2、各方明确，因不可归结于各方的原因导致本合同项下各方义务无法履行的， 各方互不承担违约责任，本合同项下各方各项义务的履行期限应相应顺延。</w:t>
      </w:r>
    </w:p>
    <w:p>
      <w:pPr>
        <w:spacing w:line="550" w:lineRule="exact"/>
        <w:ind w:firstLine="480" w:firstLineChars="200"/>
        <w:rPr>
          <w:rFonts w:ascii="宋体" w:hAnsi="宋体"/>
          <w:sz w:val="24"/>
        </w:rPr>
      </w:pPr>
      <w:r>
        <w:rPr>
          <w:rFonts w:hint="eastAsia" w:ascii="宋体" w:hAnsi="宋体"/>
          <w:sz w:val="24"/>
        </w:rPr>
        <w:t>3、因台风、洪水、冰雹、地震等自然灾害原因导致出租房屋全部或部分灭失，致使本合同无法继续履行的，本合同自动终止，各方互不承担违约责任。</w:t>
      </w:r>
    </w:p>
    <w:p>
      <w:pPr>
        <w:spacing w:line="550" w:lineRule="exact"/>
        <w:ind w:firstLine="480" w:firstLineChars="200"/>
        <w:rPr>
          <w:rFonts w:ascii="宋体" w:hAnsi="宋体"/>
          <w:sz w:val="24"/>
        </w:rPr>
      </w:pPr>
      <w:r>
        <w:rPr>
          <w:rFonts w:hint="eastAsia" w:ascii="宋体" w:hAnsi="宋体"/>
          <w:sz w:val="24"/>
        </w:rPr>
        <w:t>4、甲乙双方应严格遵守本协议的有关规定，任何一方违约都必须承担违约赔偿责任。</w:t>
      </w:r>
    </w:p>
    <w:p>
      <w:pPr>
        <w:spacing w:line="550" w:lineRule="exact"/>
        <w:ind w:firstLine="480" w:firstLineChars="200"/>
        <w:rPr>
          <w:rFonts w:ascii="宋体" w:hAnsi="宋体"/>
          <w:sz w:val="24"/>
        </w:rPr>
      </w:pPr>
      <w:r>
        <w:rPr>
          <w:rFonts w:hint="eastAsia" w:ascii="宋体" w:hAnsi="宋体"/>
          <w:sz w:val="24"/>
        </w:rPr>
        <w:t>5、合同签订后，甲方有义务配合</w:t>
      </w:r>
      <w:r>
        <w:rPr>
          <w:rFonts w:hint="eastAsia" w:ascii="宋体" w:hAnsi="宋体" w:eastAsiaTheme="minorEastAsia"/>
          <w:sz w:val="24"/>
        </w:rPr>
        <w:t>乙方</w:t>
      </w:r>
      <w:r>
        <w:rPr>
          <w:rFonts w:hint="eastAsia" w:ascii="宋体" w:hAnsi="宋体"/>
          <w:sz w:val="24"/>
        </w:rPr>
        <w:t>保障项目顺利进行。</w:t>
      </w:r>
    </w:p>
    <w:p>
      <w:pPr>
        <w:spacing w:line="550" w:lineRule="exact"/>
        <w:ind w:firstLine="480" w:firstLineChars="200"/>
        <w:rPr>
          <w:rFonts w:ascii="宋体" w:hAnsi="宋体"/>
          <w:sz w:val="24"/>
        </w:rPr>
      </w:pPr>
      <w:r>
        <w:rPr>
          <w:rFonts w:hint="eastAsia" w:ascii="宋体" w:hAnsi="宋体"/>
          <w:sz w:val="24"/>
        </w:rPr>
        <w:t>6、若出现甲方有违反本协议的相关承诺，将合同约定的经营权授予除乙方外的任何第三方，</w:t>
      </w:r>
      <w:r>
        <w:rPr>
          <w:rFonts w:hint="eastAsia" w:ascii="宋体" w:hAnsi="宋体" w:eastAsiaTheme="minorEastAsia"/>
          <w:sz w:val="24"/>
        </w:rPr>
        <w:t>乙方</w:t>
      </w:r>
      <w:r>
        <w:rPr>
          <w:rFonts w:hint="eastAsia" w:ascii="宋体" w:hAnsi="宋体"/>
          <w:sz w:val="24"/>
        </w:rPr>
        <w:t>有权解除合同，并要求甲方停止该项授权，赔偿乙方损失。</w:t>
      </w:r>
    </w:p>
    <w:p>
      <w:pPr>
        <w:spacing w:line="550" w:lineRule="exact"/>
        <w:ind w:firstLine="480" w:firstLineChars="200"/>
        <w:rPr>
          <w:rFonts w:ascii="宋体" w:hAnsi="宋体"/>
          <w:sz w:val="24"/>
        </w:rPr>
      </w:pPr>
      <w:r>
        <w:rPr>
          <w:rFonts w:hint="eastAsia" w:ascii="宋体" w:hAnsi="宋体"/>
          <w:sz w:val="24"/>
        </w:rPr>
        <w:t>7、因</w:t>
      </w:r>
      <w:r>
        <w:rPr>
          <w:rFonts w:hint="eastAsia" w:ascii="宋体" w:hAnsi="宋体" w:eastAsiaTheme="minorEastAsia"/>
          <w:sz w:val="24"/>
        </w:rPr>
        <w:t>乙方</w:t>
      </w:r>
      <w:r>
        <w:rPr>
          <w:rFonts w:hint="eastAsia" w:ascii="宋体" w:hAnsi="宋体"/>
          <w:sz w:val="24"/>
        </w:rPr>
        <w:t>管理原因造成食品、消防、公共安全责任、环境卫生及事故等所产生的相关一切责任均由</w:t>
      </w:r>
      <w:r>
        <w:rPr>
          <w:rFonts w:hint="eastAsia" w:ascii="宋体" w:hAnsi="宋体" w:eastAsiaTheme="minorEastAsia"/>
          <w:sz w:val="24"/>
        </w:rPr>
        <w:t>乙方</w:t>
      </w:r>
      <w:r>
        <w:rPr>
          <w:rFonts w:hint="eastAsia" w:ascii="宋体" w:hAnsi="宋体"/>
          <w:sz w:val="24"/>
        </w:rPr>
        <w:t>承担，且甲方有权视情形扣除每次5000至50000元的违约金，违约金在履约保证金中扣除。</w:t>
      </w:r>
    </w:p>
    <w:p>
      <w:pPr>
        <w:spacing w:line="550" w:lineRule="exact"/>
        <w:ind w:firstLine="480" w:firstLineChars="200"/>
        <w:rPr>
          <w:rFonts w:ascii="宋体" w:hAnsi="宋体"/>
          <w:sz w:val="24"/>
        </w:rPr>
      </w:pPr>
      <w:r>
        <w:rPr>
          <w:rFonts w:hint="eastAsia" w:ascii="宋体" w:hAnsi="宋体"/>
          <w:sz w:val="24"/>
        </w:rPr>
        <w:t>8、如</w:t>
      </w:r>
      <w:r>
        <w:rPr>
          <w:rFonts w:hint="eastAsia" w:ascii="宋体" w:hAnsi="宋体" w:eastAsiaTheme="minorEastAsia"/>
          <w:sz w:val="24"/>
        </w:rPr>
        <w:t>乙方</w:t>
      </w:r>
      <w:r>
        <w:rPr>
          <w:rFonts w:hint="eastAsia" w:ascii="宋体" w:hAnsi="宋体"/>
          <w:sz w:val="24"/>
        </w:rPr>
        <w:t>逾期缴纳租金及补足履约保证金的，每逾期一天应按逾期缴纳费用的千分之三支付违约金</w:t>
      </w:r>
      <w:r>
        <w:rPr>
          <w:rFonts w:ascii="宋体" w:hAnsi="宋体"/>
          <w:sz w:val="24"/>
        </w:rPr>
        <w:t>，</w:t>
      </w:r>
      <w:r>
        <w:rPr>
          <w:rFonts w:hint="eastAsia" w:ascii="宋体" w:hAnsi="宋体"/>
          <w:sz w:val="24"/>
        </w:rPr>
        <w:t>逾期支付超过30天的</w:t>
      </w:r>
      <w:r>
        <w:rPr>
          <w:rFonts w:ascii="宋体" w:hAnsi="宋体"/>
          <w:sz w:val="24"/>
        </w:rPr>
        <w:t>，</w:t>
      </w:r>
      <w:r>
        <w:rPr>
          <w:rFonts w:hint="eastAsia" w:ascii="宋体" w:hAnsi="宋体"/>
          <w:sz w:val="24"/>
        </w:rPr>
        <w:t>甲方有权解除本合同并没收所有履约保证金。</w:t>
      </w:r>
    </w:p>
    <w:p>
      <w:pPr>
        <w:spacing w:line="550" w:lineRule="exact"/>
        <w:ind w:firstLine="480" w:firstLineChars="200"/>
        <w:rPr>
          <w:rFonts w:ascii="宋体" w:hAnsi="宋体"/>
          <w:sz w:val="24"/>
        </w:rPr>
      </w:pPr>
      <w:r>
        <w:rPr>
          <w:rFonts w:ascii="宋体" w:hAnsi="宋体"/>
          <w:sz w:val="24"/>
        </w:rPr>
        <w:t>9</w:t>
      </w:r>
      <w:r>
        <w:rPr>
          <w:rFonts w:hint="eastAsia" w:ascii="宋体" w:hAnsi="宋体"/>
          <w:sz w:val="24"/>
        </w:rPr>
        <w:t>、根据本合同乙方应向甲方支付的租金</w:t>
      </w:r>
      <w:r>
        <w:rPr>
          <w:rFonts w:ascii="宋体" w:hAnsi="宋体"/>
          <w:sz w:val="24"/>
        </w:rPr>
        <w:t>、</w:t>
      </w:r>
      <w:r>
        <w:rPr>
          <w:rFonts w:hint="eastAsia" w:ascii="宋体" w:hAnsi="宋体"/>
          <w:sz w:val="24"/>
        </w:rPr>
        <w:t>履约保证金</w:t>
      </w:r>
      <w:r>
        <w:rPr>
          <w:rFonts w:ascii="宋体" w:hAnsi="宋体"/>
          <w:sz w:val="24"/>
        </w:rPr>
        <w:t>、</w:t>
      </w:r>
      <w:r>
        <w:rPr>
          <w:rFonts w:hint="eastAsia" w:ascii="宋体" w:hAnsi="宋体"/>
          <w:sz w:val="24"/>
        </w:rPr>
        <w:t>违约金</w:t>
      </w:r>
      <w:r>
        <w:rPr>
          <w:rFonts w:ascii="宋体" w:hAnsi="宋体"/>
          <w:sz w:val="24"/>
        </w:rPr>
        <w:t>、</w:t>
      </w:r>
      <w:r>
        <w:rPr>
          <w:rFonts w:hint="eastAsia" w:ascii="宋体" w:hAnsi="宋体"/>
          <w:sz w:val="24"/>
        </w:rPr>
        <w:t>赔偿款等各类款项</w:t>
      </w:r>
      <w:r>
        <w:rPr>
          <w:rFonts w:ascii="宋体" w:hAnsi="宋体"/>
          <w:sz w:val="24"/>
        </w:rPr>
        <w:t>，</w:t>
      </w:r>
      <w:r>
        <w:rPr>
          <w:rFonts w:hint="eastAsia" w:ascii="宋体" w:hAnsi="宋体"/>
          <w:sz w:val="24"/>
        </w:rPr>
        <w:t>甲方均有权在履约保证金中直接扣除</w:t>
      </w:r>
      <w:r>
        <w:rPr>
          <w:rFonts w:ascii="宋体" w:hAnsi="宋体"/>
          <w:sz w:val="24"/>
        </w:rPr>
        <w:t>。</w:t>
      </w:r>
      <w:r>
        <w:rPr>
          <w:rFonts w:hint="eastAsia" w:ascii="宋体" w:hAnsi="宋体" w:eastAsiaTheme="minorEastAsia"/>
          <w:sz w:val="24"/>
        </w:rPr>
        <w:t>乙方</w:t>
      </w:r>
      <w:r>
        <w:rPr>
          <w:rFonts w:ascii="宋体" w:hAnsi="宋体"/>
          <w:sz w:val="24"/>
        </w:rPr>
        <w:t>在</w:t>
      </w:r>
      <w:r>
        <w:rPr>
          <w:rFonts w:hint="eastAsia" w:ascii="宋体" w:hAnsi="宋体"/>
          <w:sz w:val="24"/>
        </w:rPr>
        <w:t>租赁</w:t>
      </w:r>
      <w:r>
        <w:rPr>
          <w:rFonts w:ascii="宋体" w:hAnsi="宋体"/>
          <w:sz w:val="24"/>
        </w:rPr>
        <w:t>期内被扣除</w:t>
      </w:r>
      <w:r>
        <w:rPr>
          <w:rFonts w:hint="eastAsia" w:ascii="宋体" w:hAnsi="宋体"/>
          <w:sz w:val="24"/>
        </w:rPr>
        <w:t>履约保证金</w:t>
      </w:r>
      <w:r>
        <w:rPr>
          <w:rFonts w:ascii="宋体" w:hAnsi="宋体"/>
          <w:sz w:val="24"/>
        </w:rPr>
        <w:t>的，扣除部分应在下一年度的租金缴纳时补足。</w:t>
      </w:r>
    </w:p>
    <w:p>
      <w:pPr>
        <w:spacing w:line="550" w:lineRule="exact"/>
        <w:ind w:firstLine="480" w:firstLineChars="200"/>
        <w:jc w:val="left"/>
        <w:rPr>
          <w:rFonts w:hint="eastAsia" w:ascii="宋体" w:hAnsi="宋体"/>
          <w:sz w:val="24"/>
        </w:rPr>
      </w:pPr>
      <w:r>
        <w:rPr>
          <w:rFonts w:hint="eastAsia" w:ascii="宋体" w:hAnsi="宋体"/>
          <w:bCs/>
          <w:sz w:val="24"/>
        </w:rPr>
        <w:t>10、乙</w:t>
      </w:r>
      <w:r>
        <w:rPr>
          <w:rFonts w:hint="eastAsia" w:ascii="宋体" w:hAnsi="宋体"/>
          <w:sz w:val="24"/>
        </w:rPr>
        <w:t>方申请提前解除本合同的</w:t>
      </w:r>
      <w:r>
        <w:rPr>
          <w:rFonts w:hint="default" w:ascii="宋体" w:hAnsi="宋体"/>
          <w:sz w:val="24"/>
        </w:rPr>
        <w:t>，</w:t>
      </w:r>
      <w:r>
        <w:rPr>
          <w:rFonts w:hint="eastAsia" w:ascii="宋体" w:hAnsi="宋体"/>
          <w:sz w:val="24"/>
          <w:lang w:val="en-US" w:eastAsia="zh-Hans"/>
        </w:rPr>
        <w:t>经甲方同意后方可解除</w:t>
      </w:r>
      <w:r>
        <w:rPr>
          <w:rFonts w:hint="eastAsia" w:ascii="宋体" w:hAnsi="宋体"/>
          <w:sz w:val="24"/>
        </w:rPr>
        <w:t>，</w:t>
      </w:r>
      <w:r>
        <w:rPr>
          <w:rFonts w:hint="eastAsia" w:ascii="宋体" w:hAnsi="宋体"/>
          <w:sz w:val="24"/>
          <w:lang w:val="en-US" w:eastAsia="zh-Hans"/>
        </w:rPr>
        <w:t>甲方同意解除的</w:t>
      </w:r>
      <w:r>
        <w:rPr>
          <w:rFonts w:hint="default" w:ascii="宋体" w:hAnsi="宋体"/>
          <w:sz w:val="24"/>
          <w:lang w:eastAsia="zh-Hans"/>
        </w:rPr>
        <w:t>，</w:t>
      </w:r>
      <w:r>
        <w:rPr>
          <w:rFonts w:hint="eastAsia" w:ascii="宋体" w:hAnsi="宋体"/>
          <w:sz w:val="24"/>
          <w:lang w:val="en-US" w:eastAsia="zh-Hans"/>
        </w:rPr>
        <w:t>乙方</w:t>
      </w:r>
      <w:r>
        <w:rPr>
          <w:rFonts w:hint="eastAsia" w:ascii="宋体" w:hAnsi="宋体"/>
          <w:sz w:val="24"/>
        </w:rPr>
        <w:t>应向甲方支付违约金，违约金为该年度租金总额的20%</w:t>
      </w:r>
      <w:r>
        <w:rPr>
          <w:rFonts w:hint="default" w:ascii="宋体" w:hAnsi="宋体"/>
          <w:sz w:val="24"/>
        </w:rPr>
        <w:t>，</w:t>
      </w:r>
      <w:r>
        <w:rPr>
          <w:rFonts w:hint="eastAsia" w:ascii="宋体" w:hAnsi="宋体"/>
          <w:sz w:val="24"/>
          <w:lang w:val="en-US" w:eastAsia="zh-Hans"/>
        </w:rPr>
        <w:t>违约金不足以弥补甲方损失的</w:t>
      </w:r>
      <w:r>
        <w:rPr>
          <w:rFonts w:hint="default" w:ascii="宋体" w:hAnsi="宋体"/>
          <w:sz w:val="24"/>
          <w:lang w:eastAsia="zh-Hans"/>
        </w:rPr>
        <w:t>，</w:t>
      </w:r>
      <w:r>
        <w:rPr>
          <w:rFonts w:hint="eastAsia" w:ascii="宋体" w:hAnsi="宋体"/>
          <w:sz w:val="24"/>
          <w:lang w:val="en-US" w:eastAsia="zh-Hans"/>
        </w:rPr>
        <w:t>乙方应按甲方实际损失进行赔偿</w:t>
      </w:r>
      <w:r>
        <w:rPr>
          <w:rFonts w:hint="eastAsia" w:ascii="宋体" w:hAnsi="宋体"/>
          <w:sz w:val="24"/>
        </w:rPr>
        <w:t>。</w:t>
      </w:r>
    </w:p>
    <w:p>
      <w:pPr>
        <w:spacing w:line="550" w:lineRule="exact"/>
        <w:ind w:firstLine="482" w:firstLineChars="200"/>
        <w:jc w:val="left"/>
        <w:rPr>
          <w:rFonts w:ascii="宋体" w:hAnsi="宋体"/>
          <w:b/>
          <w:bCs/>
          <w:sz w:val="24"/>
        </w:rPr>
      </w:pPr>
      <w:r>
        <w:rPr>
          <w:rFonts w:hint="eastAsia" w:ascii="宋体" w:hAnsi="宋体"/>
          <w:b/>
          <w:bCs/>
          <w:sz w:val="24"/>
        </w:rPr>
        <w:t>第十</w:t>
      </w:r>
      <w:r>
        <w:rPr>
          <w:rFonts w:hint="eastAsia" w:ascii="宋体" w:hAnsi="宋体"/>
          <w:b/>
          <w:bCs/>
          <w:sz w:val="24"/>
          <w:lang w:val="en-US" w:eastAsia="zh-CN"/>
        </w:rPr>
        <w:t>二</w:t>
      </w:r>
      <w:r>
        <w:rPr>
          <w:rFonts w:hint="eastAsia" w:ascii="宋体" w:hAnsi="宋体"/>
          <w:b/>
          <w:bCs/>
          <w:sz w:val="24"/>
        </w:rPr>
        <w:t>条 单方终止协议</w:t>
      </w:r>
    </w:p>
    <w:p>
      <w:pPr>
        <w:spacing w:line="550" w:lineRule="exact"/>
        <w:ind w:firstLine="480" w:firstLineChars="200"/>
        <w:rPr>
          <w:rFonts w:ascii="宋体" w:hAnsi="宋体"/>
          <w:sz w:val="24"/>
        </w:rPr>
      </w:pPr>
      <w:r>
        <w:rPr>
          <w:rFonts w:hint="eastAsia" w:ascii="宋体" w:hAnsi="宋体"/>
          <w:sz w:val="24"/>
        </w:rPr>
        <w:t>本合同签订后出现以下任一情形的</w:t>
      </w:r>
      <w:r>
        <w:rPr>
          <w:rFonts w:ascii="宋体" w:hAnsi="宋体"/>
          <w:sz w:val="24"/>
        </w:rPr>
        <w:t>，</w:t>
      </w:r>
      <w:r>
        <w:rPr>
          <w:rFonts w:hint="eastAsia" w:ascii="宋体" w:hAnsi="宋体"/>
          <w:sz w:val="24"/>
        </w:rPr>
        <w:t>甲方均有权要求解除本合同</w:t>
      </w:r>
      <w:r>
        <w:rPr>
          <w:rFonts w:ascii="宋体" w:hAnsi="宋体"/>
          <w:sz w:val="24"/>
        </w:rPr>
        <w:t>，</w:t>
      </w:r>
      <w:r>
        <w:rPr>
          <w:rFonts w:hint="eastAsia" w:ascii="宋体" w:hAnsi="宋体"/>
          <w:sz w:val="24"/>
        </w:rPr>
        <w:t>履约保证金不予退还</w:t>
      </w:r>
      <w:r>
        <w:rPr>
          <w:rFonts w:ascii="宋体" w:hAnsi="宋体"/>
          <w:sz w:val="24"/>
        </w:rPr>
        <w:t>，</w:t>
      </w:r>
      <w:r>
        <w:rPr>
          <w:rFonts w:hint="eastAsia" w:ascii="宋体" w:hAnsi="宋体"/>
          <w:sz w:val="24"/>
        </w:rPr>
        <w:t>履约保证金不足以弥补甲方损失的</w:t>
      </w:r>
      <w:r>
        <w:rPr>
          <w:rFonts w:ascii="宋体" w:hAnsi="宋体"/>
          <w:sz w:val="24"/>
        </w:rPr>
        <w:t>，</w:t>
      </w:r>
      <w:r>
        <w:rPr>
          <w:rFonts w:hint="eastAsia" w:ascii="宋体" w:hAnsi="宋体" w:eastAsiaTheme="minorEastAsia"/>
          <w:sz w:val="24"/>
        </w:rPr>
        <w:t>乙方</w:t>
      </w:r>
      <w:r>
        <w:rPr>
          <w:rFonts w:hint="eastAsia" w:ascii="宋体" w:hAnsi="宋体"/>
          <w:sz w:val="24"/>
        </w:rPr>
        <w:t>应按甲方实际损失进行赔偿：</w:t>
      </w:r>
    </w:p>
    <w:p>
      <w:pPr>
        <w:spacing w:line="550" w:lineRule="exact"/>
        <w:ind w:firstLine="480" w:firstLineChars="200"/>
        <w:rPr>
          <w:rFonts w:ascii="宋体" w:hAnsi="宋体"/>
          <w:sz w:val="24"/>
        </w:rPr>
      </w:pPr>
      <w:r>
        <w:rPr>
          <w:rFonts w:hint="eastAsia" w:ascii="宋体" w:hAnsi="宋体"/>
          <w:sz w:val="24"/>
        </w:rPr>
        <w:t>1、因</w:t>
      </w:r>
      <w:r>
        <w:rPr>
          <w:rFonts w:hint="eastAsia" w:ascii="宋体" w:hAnsi="宋体" w:eastAsiaTheme="minorEastAsia"/>
          <w:sz w:val="24"/>
        </w:rPr>
        <w:t>乙方</w:t>
      </w:r>
      <w:r>
        <w:rPr>
          <w:rFonts w:hint="eastAsia" w:ascii="宋体" w:hAnsi="宋体"/>
          <w:sz w:val="24"/>
        </w:rPr>
        <w:t>、商户或第三方进行非正常装修或其他人为因素（非甲方原因）造成出租房屋遭受严重破坏，影响项目继续实施的；</w:t>
      </w:r>
    </w:p>
    <w:p>
      <w:pPr>
        <w:spacing w:line="550" w:lineRule="exact"/>
        <w:ind w:firstLine="480" w:firstLineChars="200"/>
        <w:rPr>
          <w:rFonts w:ascii="宋体" w:hAnsi="宋体"/>
          <w:sz w:val="24"/>
        </w:rPr>
      </w:pPr>
      <w:r>
        <w:rPr>
          <w:rFonts w:ascii="宋体" w:hAnsi="宋体"/>
          <w:sz w:val="24"/>
        </w:rPr>
        <w:t>2、</w:t>
      </w:r>
      <w:r>
        <w:rPr>
          <w:rFonts w:hint="eastAsia" w:ascii="宋体" w:hAnsi="宋体" w:eastAsiaTheme="minorEastAsia"/>
          <w:sz w:val="24"/>
        </w:rPr>
        <w:t>乙方</w:t>
      </w:r>
      <w:r>
        <w:rPr>
          <w:rFonts w:hint="eastAsia" w:ascii="宋体" w:hAnsi="宋体"/>
          <w:sz w:val="24"/>
        </w:rPr>
        <w:t>出现清算、破产等影响或可能影响履约能力的情形的</w:t>
      </w:r>
      <w:r>
        <w:rPr>
          <w:rFonts w:ascii="宋体" w:hAnsi="宋体"/>
          <w:sz w:val="24"/>
        </w:rPr>
        <w:t>；</w:t>
      </w:r>
    </w:p>
    <w:p>
      <w:pPr>
        <w:spacing w:line="550" w:lineRule="exact"/>
        <w:ind w:firstLine="480" w:firstLineChars="200"/>
        <w:rPr>
          <w:rFonts w:ascii="宋体" w:hAnsi="宋体"/>
          <w:sz w:val="24"/>
        </w:rPr>
      </w:pPr>
      <w:r>
        <w:rPr>
          <w:rFonts w:ascii="宋体" w:hAnsi="宋体"/>
          <w:sz w:val="24"/>
        </w:rPr>
        <w:t>3</w:t>
      </w:r>
      <w:r>
        <w:rPr>
          <w:rFonts w:hint="eastAsia" w:ascii="宋体" w:hAnsi="宋体"/>
          <w:sz w:val="24"/>
        </w:rPr>
        <w:t>、</w:t>
      </w:r>
      <w:r>
        <w:rPr>
          <w:rFonts w:hint="eastAsia" w:ascii="宋体" w:hAnsi="宋体" w:eastAsiaTheme="minorEastAsia"/>
          <w:sz w:val="24"/>
        </w:rPr>
        <w:t>乙方</w:t>
      </w:r>
      <w:r>
        <w:rPr>
          <w:rFonts w:hint="eastAsia" w:ascii="宋体" w:hAnsi="宋体"/>
          <w:sz w:val="24"/>
        </w:rPr>
        <w:t>管理不善，收到相关职能部门批评通报并造成重大恶劣影响</w:t>
      </w:r>
      <w:r>
        <w:rPr>
          <w:rFonts w:ascii="宋体" w:hAnsi="宋体"/>
          <w:sz w:val="24"/>
        </w:rPr>
        <w:t>，</w:t>
      </w:r>
      <w:r>
        <w:rPr>
          <w:rFonts w:hint="eastAsia" w:ascii="宋体" w:hAnsi="宋体"/>
          <w:sz w:val="24"/>
        </w:rPr>
        <w:t>或经甲方多次提醒整改仍未整改到位的</w:t>
      </w:r>
      <w:r>
        <w:rPr>
          <w:rFonts w:ascii="宋体" w:hAnsi="宋体"/>
          <w:sz w:val="24"/>
        </w:rPr>
        <w:t>；</w:t>
      </w:r>
    </w:p>
    <w:p>
      <w:pPr>
        <w:spacing w:line="550" w:lineRule="exact"/>
        <w:ind w:firstLine="480" w:firstLineChars="200"/>
        <w:rPr>
          <w:rFonts w:ascii="宋体" w:hAnsi="宋体"/>
          <w:sz w:val="24"/>
        </w:rPr>
      </w:pPr>
      <w:r>
        <w:rPr>
          <w:rFonts w:ascii="宋体" w:hAnsi="宋体"/>
          <w:sz w:val="24"/>
        </w:rPr>
        <w:t>4、</w:t>
      </w:r>
      <w:r>
        <w:rPr>
          <w:rFonts w:hint="eastAsia" w:ascii="宋体" w:hAnsi="宋体" w:eastAsiaTheme="minorEastAsia"/>
          <w:sz w:val="24"/>
        </w:rPr>
        <w:t>乙方</w:t>
      </w:r>
      <w:r>
        <w:rPr>
          <w:rFonts w:hint="eastAsia" w:ascii="宋体" w:hAnsi="宋体"/>
          <w:sz w:val="24"/>
        </w:rPr>
        <w:t>对于净菜超市的经营管理与项目定位不符</w:t>
      </w:r>
      <w:r>
        <w:rPr>
          <w:rFonts w:ascii="宋体" w:hAnsi="宋体"/>
          <w:sz w:val="24"/>
        </w:rPr>
        <w:t>，</w:t>
      </w:r>
      <w:r>
        <w:rPr>
          <w:rFonts w:hint="eastAsia" w:ascii="宋体" w:hAnsi="宋体"/>
          <w:sz w:val="24"/>
        </w:rPr>
        <w:t>或对项目形象造成严重不良影响的</w:t>
      </w:r>
      <w:r>
        <w:rPr>
          <w:rFonts w:ascii="宋体" w:hAnsi="宋体"/>
          <w:sz w:val="24"/>
        </w:rPr>
        <w:t>；</w:t>
      </w:r>
    </w:p>
    <w:p>
      <w:pPr>
        <w:spacing w:line="550" w:lineRule="exact"/>
        <w:ind w:firstLine="480" w:firstLineChars="200"/>
        <w:rPr>
          <w:rFonts w:hint="eastAsia" w:ascii="宋体" w:hAnsi="宋体" w:eastAsia="宋体"/>
          <w:sz w:val="24"/>
          <w:lang w:eastAsia="zh-CN"/>
        </w:rPr>
      </w:pPr>
      <w:r>
        <w:rPr>
          <w:rFonts w:ascii="宋体" w:hAnsi="宋体"/>
          <w:sz w:val="24"/>
        </w:rPr>
        <w:t>5、</w:t>
      </w:r>
      <w:r>
        <w:rPr>
          <w:rFonts w:hint="eastAsia" w:ascii="宋体" w:hAnsi="宋体" w:eastAsiaTheme="minorEastAsia"/>
          <w:sz w:val="24"/>
        </w:rPr>
        <w:t>乙方</w:t>
      </w:r>
      <w:r>
        <w:rPr>
          <w:rFonts w:hint="eastAsia" w:ascii="宋体" w:hAnsi="宋体"/>
          <w:sz w:val="24"/>
        </w:rPr>
        <w:t>逾期支付租金或履约保证金超过30天的</w:t>
      </w:r>
      <w:r>
        <w:rPr>
          <w:rFonts w:hint="eastAsia" w:ascii="宋体" w:hAnsi="宋体"/>
          <w:sz w:val="24"/>
          <w:lang w:eastAsia="zh-CN"/>
        </w:rPr>
        <w:t>。</w:t>
      </w:r>
    </w:p>
    <w:p>
      <w:pPr>
        <w:spacing w:line="550" w:lineRule="exact"/>
        <w:ind w:firstLine="480" w:firstLineChars="200"/>
        <w:rPr>
          <w:rFonts w:ascii="宋体" w:hAnsi="宋体"/>
          <w:sz w:val="24"/>
        </w:rPr>
      </w:pPr>
      <w:r>
        <w:rPr>
          <w:rFonts w:hint="eastAsia" w:ascii="宋体" w:hAnsi="宋体"/>
          <w:sz w:val="24"/>
          <w:lang w:val="en-US" w:eastAsia="zh-CN"/>
        </w:rPr>
        <w:t>6、2023年底前，</w:t>
      </w:r>
      <w:r>
        <w:rPr>
          <w:rFonts w:hint="eastAsia" w:ascii="宋体" w:hAnsi="宋体"/>
          <w:sz w:val="24"/>
          <w:lang w:val="en-US" w:eastAsia="zh-Hans"/>
        </w:rPr>
        <w:t>乙方未使</w:t>
      </w:r>
      <w:r>
        <w:rPr>
          <w:rFonts w:hint="eastAsia" w:ascii="宋体" w:hAnsi="宋体"/>
          <w:sz w:val="24"/>
          <w:lang w:val="en-US" w:eastAsia="zh-CN"/>
        </w:rPr>
        <w:t>净菜超市具备开业条件</w:t>
      </w:r>
      <w:r>
        <w:rPr>
          <w:rFonts w:ascii="宋体" w:hAnsi="宋体"/>
          <w:sz w:val="24"/>
        </w:rPr>
        <w:t>。</w:t>
      </w:r>
    </w:p>
    <w:p>
      <w:pPr>
        <w:spacing w:line="550" w:lineRule="exact"/>
        <w:jc w:val="left"/>
        <w:rPr>
          <w:rFonts w:ascii="宋体" w:hAnsi="宋体"/>
          <w:b/>
          <w:bCs/>
          <w:sz w:val="24"/>
        </w:rPr>
      </w:pPr>
      <w:r>
        <w:rPr>
          <w:rFonts w:hint="eastAsia" w:ascii="宋体" w:hAnsi="宋体"/>
          <w:b/>
          <w:bCs/>
          <w:sz w:val="24"/>
        </w:rPr>
        <w:t>第十三条 甲方违约的处理</w:t>
      </w:r>
    </w:p>
    <w:p>
      <w:pPr>
        <w:spacing w:line="550" w:lineRule="exact"/>
        <w:ind w:firstLine="480" w:firstLineChars="200"/>
        <w:rPr>
          <w:rFonts w:ascii="宋体" w:hAnsi="宋体"/>
          <w:sz w:val="24"/>
        </w:rPr>
      </w:pPr>
      <w:r>
        <w:rPr>
          <w:rFonts w:hint="eastAsia" w:ascii="宋体" w:hAnsi="宋体"/>
          <w:sz w:val="24"/>
        </w:rPr>
        <w:t>如甲方无正当理由违反其在本协议中应承担的主要义务，应当自收到</w:t>
      </w:r>
      <w:r>
        <w:rPr>
          <w:rFonts w:hint="eastAsia" w:ascii="宋体" w:hAnsi="宋体" w:eastAsiaTheme="minorEastAsia"/>
          <w:sz w:val="24"/>
        </w:rPr>
        <w:t>乙方</w:t>
      </w:r>
      <w:r>
        <w:rPr>
          <w:rFonts w:hint="eastAsia" w:ascii="宋体" w:hAnsi="宋体"/>
          <w:sz w:val="24"/>
        </w:rPr>
        <w:t>发出的要求甲方纠正其违约行为的书面通知之日起30日内予以纠正。</w:t>
      </w:r>
    </w:p>
    <w:p>
      <w:pPr>
        <w:spacing w:line="550" w:lineRule="exact"/>
        <w:jc w:val="left"/>
        <w:rPr>
          <w:rFonts w:ascii="宋体" w:hAnsi="宋体"/>
          <w:b/>
          <w:bCs/>
          <w:sz w:val="24"/>
        </w:rPr>
      </w:pPr>
      <w:r>
        <w:rPr>
          <w:rFonts w:hint="eastAsia" w:ascii="宋体" w:hAnsi="宋体"/>
          <w:b/>
          <w:bCs/>
          <w:sz w:val="24"/>
        </w:rPr>
        <w:t>第十四条 不可抗力</w:t>
      </w:r>
    </w:p>
    <w:p>
      <w:pPr>
        <w:spacing w:line="550" w:lineRule="exact"/>
        <w:ind w:firstLine="480" w:firstLineChars="200"/>
        <w:rPr>
          <w:rFonts w:ascii="宋体" w:hAnsi="宋体"/>
          <w:sz w:val="24"/>
        </w:rPr>
      </w:pPr>
      <w:r>
        <w:rPr>
          <w:rFonts w:hint="eastAsia" w:ascii="宋体" w:hAnsi="宋体"/>
          <w:sz w:val="24"/>
        </w:rPr>
        <w:t>在各方合作期间， 若本合同任何一方遭遇法定或本合同约定之不可抗力事件， 遭遇不可抗力事件的一方，应于该不可抗力之事件发生之日起15日内，向对方提供不可抗力发生地相关公证机关或政府部门出具之不可抗力发生之书证。自不可抗力发生之日起60日内各方如未能就继续履行本合同达成补充协议，或对本合同进行修订或变更的，则任何一方均有权向对方发出终止本合同的书面通知，本合同自终止通知送达对方之日起终止。</w:t>
      </w:r>
    </w:p>
    <w:p>
      <w:pPr>
        <w:spacing w:line="550" w:lineRule="exact"/>
        <w:jc w:val="left"/>
        <w:rPr>
          <w:rFonts w:ascii="宋体" w:hAnsi="宋体"/>
          <w:b/>
          <w:bCs/>
          <w:sz w:val="24"/>
        </w:rPr>
      </w:pPr>
      <w:r>
        <w:rPr>
          <w:rFonts w:hint="eastAsia" w:ascii="宋体" w:hAnsi="宋体"/>
          <w:b/>
          <w:bCs/>
          <w:sz w:val="24"/>
        </w:rPr>
        <w:t>第十五条 通知</w:t>
      </w:r>
    </w:p>
    <w:p>
      <w:pPr>
        <w:spacing w:line="550" w:lineRule="exact"/>
        <w:ind w:firstLine="480" w:firstLineChars="200"/>
        <w:rPr>
          <w:rFonts w:ascii="宋体" w:hAnsi="宋体"/>
          <w:sz w:val="24"/>
        </w:rPr>
      </w:pPr>
      <w:r>
        <w:rPr>
          <w:rFonts w:hint="eastAsia" w:ascii="宋体" w:hAnsi="宋体"/>
          <w:sz w:val="24"/>
        </w:rPr>
        <w:t>各方按本合同首页列明的地址发送通知。任何一方若另行指定其他地址或地址变更，须及时以书面形式通知另一方。如用电话、传真通知的，凡涉及各方权利、义务的，应再以书面补发通知。以传真/电邮方式通知的，电子记录即为送达日；以专人手递方式发出的，送达至指定地址之日即为送达日；以邮寄方式发出的，邮戳为凭。不论通知以上述任何方式送达， 各方都有义务及时以电话告知对方通知事宜，并确认通知的送达情况。</w:t>
      </w:r>
    </w:p>
    <w:p>
      <w:pPr>
        <w:spacing w:line="550" w:lineRule="exact"/>
        <w:jc w:val="left"/>
        <w:rPr>
          <w:rFonts w:ascii="宋体" w:hAnsi="宋体"/>
          <w:b/>
          <w:bCs/>
          <w:sz w:val="24"/>
        </w:rPr>
      </w:pPr>
      <w:r>
        <w:rPr>
          <w:rFonts w:hint="eastAsia" w:ascii="宋体" w:hAnsi="宋体"/>
          <w:b/>
          <w:bCs/>
          <w:sz w:val="24"/>
        </w:rPr>
        <w:t>第十六条 争议解决</w:t>
      </w:r>
    </w:p>
    <w:p>
      <w:pPr>
        <w:spacing w:line="550" w:lineRule="exact"/>
        <w:ind w:firstLine="480" w:firstLineChars="200"/>
        <w:rPr>
          <w:rFonts w:ascii="宋体" w:hAnsi="宋体"/>
          <w:sz w:val="24"/>
        </w:rPr>
      </w:pPr>
      <w:r>
        <w:rPr>
          <w:rFonts w:hint="eastAsia" w:ascii="宋体" w:hAnsi="宋体"/>
          <w:sz w:val="24"/>
        </w:rPr>
        <w:t>1、 凡因执行本合同所发生的或者与本合同有关的一切争议，各方应首先通过友好协商解决或按照本合同约定的方式予以处理，如不能在争议发生后 30 日内解决该等争议的，任何一方均应提交项目所在地人民法院诉讼裁决。</w:t>
      </w:r>
    </w:p>
    <w:p>
      <w:pPr>
        <w:numPr>
          <w:ilvl w:val="0"/>
          <w:numId w:val="3"/>
        </w:numPr>
        <w:adjustRightInd/>
        <w:spacing w:line="550" w:lineRule="exact"/>
        <w:ind w:firstLine="480" w:firstLineChars="200"/>
        <w:rPr>
          <w:rFonts w:ascii="宋体" w:hAnsi="宋体"/>
          <w:sz w:val="24"/>
        </w:rPr>
      </w:pPr>
      <w:r>
        <w:rPr>
          <w:rFonts w:hint="eastAsia" w:ascii="宋体" w:hAnsi="宋体"/>
          <w:sz w:val="24"/>
        </w:rPr>
        <w:t>本合同的订立、效力、解释、履行和争议的解决均适用中华人民共和国法律。</w:t>
      </w:r>
    </w:p>
    <w:p>
      <w:pPr>
        <w:spacing w:line="550" w:lineRule="exact"/>
        <w:jc w:val="left"/>
        <w:rPr>
          <w:rFonts w:ascii="宋体" w:hAnsi="宋体"/>
          <w:b/>
          <w:bCs/>
          <w:sz w:val="24"/>
        </w:rPr>
      </w:pPr>
      <w:r>
        <w:rPr>
          <w:rFonts w:hint="eastAsia" w:ascii="宋体" w:hAnsi="宋体"/>
          <w:b/>
          <w:bCs/>
          <w:sz w:val="24"/>
        </w:rPr>
        <w:t>第十七条 附则</w:t>
      </w:r>
    </w:p>
    <w:p>
      <w:pPr>
        <w:spacing w:line="550" w:lineRule="exact"/>
        <w:ind w:firstLine="480" w:firstLineChars="200"/>
        <w:rPr>
          <w:rFonts w:ascii="宋体" w:hAnsi="宋体"/>
          <w:sz w:val="24"/>
        </w:rPr>
      </w:pPr>
      <w:r>
        <w:rPr>
          <w:rFonts w:hint="eastAsia" w:ascii="宋体" w:hAnsi="宋体"/>
          <w:sz w:val="24"/>
        </w:rPr>
        <w:t>1、本合同经甲、 乙双方签字并盖章后生效； 本合同一式八份， 甲、 乙双方各执四份，均具有同等法律效力。若乙方成立项目公司的</w:t>
      </w:r>
      <w:r>
        <w:rPr>
          <w:rFonts w:ascii="宋体" w:hAnsi="宋体"/>
          <w:sz w:val="24"/>
        </w:rPr>
        <w:t>，</w:t>
      </w:r>
      <w:r>
        <w:rPr>
          <w:rFonts w:hint="eastAsia" w:ascii="宋体" w:hAnsi="宋体"/>
          <w:sz w:val="24"/>
        </w:rPr>
        <w:t>乙方应确保项目公司于成立之日起</w:t>
      </w:r>
      <w:r>
        <w:rPr>
          <w:rFonts w:ascii="宋体" w:hAnsi="宋体"/>
          <w:sz w:val="24"/>
        </w:rPr>
        <w:t>3</w:t>
      </w:r>
      <w:r>
        <w:rPr>
          <w:rFonts w:hint="eastAsia" w:ascii="宋体" w:hAnsi="宋体"/>
          <w:sz w:val="24"/>
        </w:rPr>
        <w:t>日内在本合同上补充法定代表人/授权代表签字并加盖公章</w:t>
      </w:r>
      <w:r>
        <w:rPr>
          <w:rFonts w:ascii="宋体" w:hAnsi="宋体"/>
          <w:sz w:val="24"/>
        </w:rPr>
        <w:t>，</w:t>
      </w:r>
      <w:r>
        <w:rPr>
          <w:rFonts w:hint="eastAsia" w:ascii="宋体" w:hAnsi="宋体"/>
          <w:sz w:val="24"/>
        </w:rPr>
        <w:t>作为乙方项目公司对履行本合同项下权利义务的确认。</w:t>
      </w:r>
    </w:p>
    <w:p>
      <w:pPr>
        <w:spacing w:line="550" w:lineRule="exact"/>
        <w:ind w:firstLine="480" w:firstLineChars="200"/>
        <w:rPr>
          <w:rFonts w:ascii="宋体" w:hAnsi="宋体"/>
          <w:sz w:val="24"/>
        </w:rPr>
      </w:pPr>
      <w:r>
        <w:rPr>
          <w:rFonts w:hint="eastAsia" w:ascii="宋体" w:hAnsi="宋体"/>
          <w:sz w:val="24"/>
        </w:rPr>
        <w:t>2、本合同未尽事宜， 经各方协商后签订补充协议， 补充协议与本合同具有同等法律效力。</w:t>
      </w:r>
    </w:p>
    <w:p>
      <w:pPr>
        <w:spacing w:line="550" w:lineRule="exact"/>
        <w:jc w:val="left"/>
        <w:rPr>
          <w:rFonts w:ascii="宋体" w:hAnsi="宋体"/>
          <w:sz w:val="24"/>
        </w:rPr>
      </w:pPr>
      <w:r>
        <w:rPr>
          <w:rFonts w:hint="eastAsia" w:ascii="宋体" w:hAnsi="宋体"/>
          <w:sz w:val="24"/>
        </w:rPr>
        <w:t xml:space="preserve">【特别声明】 </w:t>
      </w:r>
    </w:p>
    <w:p>
      <w:pPr>
        <w:spacing w:line="550" w:lineRule="exact"/>
        <w:ind w:firstLine="480" w:firstLineChars="200"/>
        <w:rPr>
          <w:rFonts w:ascii="宋体" w:hAnsi="宋体"/>
          <w:sz w:val="24"/>
        </w:rPr>
      </w:pPr>
      <w:r>
        <w:rPr>
          <w:rFonts w:hint="eastAsia" w:ascii="宋体" w:hAnsi="宋体"/>
          <w:sz w:val="24"/>
        </w:rPr>
        <w:t>各方声明其已阅读本合同的所有条款，并对本合同中各自的权利、义务、责任完全明白、充分理解，并愿按本合同规定严格执行。</w:t>
      </w:r>
    </w:p>
    <w:p>
      <w:pPr>
        <w:spacing w:line="550" w:lineRule="exact"/>
        <w:rPr>
          <w:rFonts w:ascii="宋体" w:hAnsi="宋体"/>
          <w:sz w:val="24"/>
        </w:rPr>
      </w:pPr>
    </w:p>
    <w:p>
      <w:pPr>
        <w:pStyle w:val="2"/>
        <w:numPr>
          <w:ilvl w:val="255"/>
          <w:numId w:val="0"/>
        </w:numPr>
      </w:pPr>
    </w:p>
    <w:p>
      <w:pPr>
        <w:spacing w:line="550" w:lineRule="exact"/>
        <w:rPr>
          <w:rFonts w:ascii="宋体" w:hAnsi="宋体"/>
          <w:sz w:val="24"/>
        </w:rPr>
      </w:pPr>
      <w:r>
        <w:rPr>
          <w:rFonts w:hint="eastAsia" w:ascii="宋体" w:hAnsi="宋体"/>
          <w:sz w:val="24"/>
        </w:rPr>
        <w:t>甲方： 【杭州萧山钱江世纪城城市运营有限公司】 （盖章）</w:t>
      </w:r>
    </w:p>
    <w:p>
      <w:pPr>
        <w:spacing w:line="550" w:lineRule="exact"/>
        <w:rPr>
          <w:rFonts w:ascii="宋体" w:hAnsi="宋体"/>
          <w:sz w:val="24"/>
        </w:rPr>
      </w:pPr>
      <w:r>
        <w:rPr>
          <w:rFonts w:hint="eastAsia" w:ascii="宋体" w:hAnsi="宋体"/>
          <w:sz w:val="24"/>
        </w:rPr>
        <w:t>法定代表人/授权代表（签字）：</w:t>
      </w:r>
    </w:p>
    <w:p>
      <w:pPr>
        <w:spacing w:line="550" w:lineRule="exact"/>
        <w:rPr>
          <w:rFonts w:ascii="宋体" w:hAnsi="宋体"/>
          <w:sz w:val="24"/>
        </w:rPr>
      </w:pPr>
    </w:p>
    <w:p>
      <w:pPr>
        <w:spacing w:line="550" w:lineRule="exact"/>
        <w:rPr>
          <w:rFonts w:ascii="宋体" w:hAnsi="宋体"/>
          <w:sz w:val="24"/>
        </w:rPr>
      </w:pPr>
      <w:r>
        <w:rPr>
          <w:rFonts w:hint="eastAsia" w:ascii="宋体" w:hAnsi="宋体"/>
          <w:sz w:val="24"/>
        </w:rPr>
        <w:t>乙方： 【   】 （盖章）</w:t>
      </w:r>
    </w:p>
    <w:p>
      <w:pPr>
        <w:spacing w:line="550" w:lineRule="exact"/>
        <w:rPr>
          <w:rFonts w:ascii="宋体" w:hAnsi="宋体"/>
          <w:sz w:val="24"/>
        </w:rPr>
      </w:pPr>
      <w:r>
        <w:rPr>
          <w:rFonts w:hint="eastAsia" w:ascii="宋体" w:hAnsi="宋体"/>
          <w:sz w:val="24"/>
        </w:rPr>
        <w:t>法定代表人/授权代表（签字）：</w:t>
      </w:r>
    </w:p>
    <w:p>
      <w:pPr>
        <w:spacing w:line="550" w:lineRule="exact"/>
        <w:rPr>
          <w:rFonts w:ascii="宋体" w:hAnsi="宋体"/>
          <w:sz w:val="24"/>
        </w:rPr>
      </w:pPr>
    </w:p>
    <w:p/>
    <w:p>
      <w:pPr>
        <w:spacing w:line="550" w:lineRule="exact"/>
        <w:rPr>
          <w:rFonts w:ascii="宋体" w:hAnsi="宋体"/>
          <w:sz w:val="24"/>
        </w:rPr>
      </w:pPr>
      <w:r>
        <w:rPr>
          <w:rFonts w:ascii="宋体" w:hAnsi="宋体"/>
          <w:sz w:val="24"/>
        </w:rPr>
        <w:t>签订日期</w:t>
      </w:r>
      <w:r>
        <w:rPr>
          <w:rFonts w:hint="eastAsia" w:ascii="宋体" w:hAnsi="宋体"/>
          <w:sz w:val="24"/>
        </w:rPr>
        <w:t>：</w:t>
      </w:r>
    </w:p>
    <w:p>
      <w:pPr>
        <w:tabs>
          <w:tab w:val="left" w:pos="360"/>
        </w:tabs>
        <w:spacing w:line="360" w:lineRule="exact"/>
        <w:ind w:firstLine="315" w:firstLineChars="150"/>
        <w:rPr>
          <w:rFonts w:hint="eastAsia" w:ascii="宋体" w:hAnsi="宋体" w:eastAsia="宋体" w:cs="宋体"/>
          <w:sz w:val="24"/>
        </w:rPr>
      </w:pPr>
      <w:r>
        <w:br w:type="page"/>
      </w:r>
      <w:r>
        <w:rPr>
          <w:rFonts w:hint="eastAsia" w:ascii="宋体" w:hAnsi="宋体" w:eastAsia="宋体" w:cs="宋体"/>
          <w:sz w:val="24"/>
        </w:rPr>
        <w:t>附件一：租金支付明细表</w:t>
      </w:r>
    </w:p>
    <w:p>
      <w:pPr>
        <w:rPr>
          <w:rFonts w:hint="eastAsia" w:ascii="宋体" w:hAnsi="宋体" w:cs="宋体"/>
        </w:rPr>
      </w:pPr>
    </w:p>
    <w:tbl>
      <w:tblPr>
        <w:tblStyle w:val="25"/>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182"/>
        <w:gridCol w:w="2891"/>
        <w:gridCol w:w="1597"/>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1184"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租赁年度</w:t>
            </w:r>
          </w:p>
        </w:tc>
        <w:tc>
          <w:tcPr>
            <w:tcW w:w="1182"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期数</w:t>
            </w:r>
          </w:p>
        </w:tc>
        <w:tc>
          <w:tcPr>
            <w:tcW w:w="2891"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color w:val="000000"/>
                <w:kern w:val="0"/>
                <w:sz w:val="24"/>
              </w:rPr>
              <w:t>使用期限</w:t>
            </w:r>
          </w:p>
        </w:tc>
        <w:tc>
          <w:tcPr>
            <w:tcW w:w="1597" w:type="dxa"/>
            <w:vAlign w:val="center"/>
          </w:tcPr>
          <w:p>
            <w:pPr>
              <w:spacing w:line="360" w:lineRule="auto"/>
              <w:jc w:val="center"/>
              <w:rPr>
                <w:rFonts w:hint="eastAsia" w:ascii="宋体" w:hAnsi="宋体" w:eastAsia="宋体" w:cs="宋体"/>
                <w:kern w:val="0"/>
                <w:sz w:val="24"/>
              </w:rPr>
            </w:pPr>
            <w:r>
              <w:rPr>
                <w:rFonts w:hint="eastAsia" w:ascii="宋体" w:hAnsi="宋体" w:eastAsia="宋体" w:cs="宋体"/>
                <w:kern w:val="0"/>
                <w:sz w:val="24"/>
              </w:rPr>
              <w:t>租金费用（元）（含税）</w:t>
            </w:r>
          </w:p>
        </w:tc>
        <w:tc>
          <w:tcPr>
            <w:tcW w:w="292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付款日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jc w:val="center"/>
        </w:trPr>
        <w:tc>
          <w:tcPr>
            <w:tcW w:w="1184"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第一年</w:t>
            </w:r>
          </w:p>
        </w:tc>
        <w:tc>
          <w:tcPr>
            <w:tcW w:w="1182"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第一期</w:t>
            </w:r>
          </w:p>
        </w:tc>
        <w:tc>
          <w:tcPr>
            <w:tcW w:w="2891" w:type="dxa"/>
            <w:vAlign w:val="center"/>
          </w:tcPr>
          <w:p>
            <w:pPr>
              <w:widowControl/>
              <w:spacing w:line="360" w:lineRule="auto"/>
              <w:jc w:val="center"/>
              <w:rPr>
                <w:rFonts w:hint="eastAsia" w:ascii="宋体" w:hAnsi="宋体" w:eastAsia="宋体" w:cs="宋体"/>
                <w:kern w:val="0"/>
                <w:sz w:val="24"/>
              </w:rPr>
            </w:pPr>
          </w:p>
        </w:tc>
        <w:tc>
          <w:tcPr>
            <w:tcW w:w="1597" w:type="dxa"/>
            <w:vAlign w:val="center"/>
          </w:tcPr>
          <w:p>
            <w:pPr>
              <w:spacing w:line="360" w:lineRule="auto"/>
              <w:jc w:val="center"/>
              <w:rPr>
                <w:rFonts w:hint="eastAsia" w:ascii="宋体" w:hAnsi="宋体" w:eastAsia="宋体" w:cs="宋体"/>
                <w:kern w:val="0"/>
                <w:sz w:val="24"/>
              </w:rPr>
            </w:pPr>
          </w:p>
        </w:tc>
        <w:tc>
          <w:tcPr>
            <w:tcW w:w="292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连同履约保证金在合同签订后5个工作日内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第二年</w:t>
            </w:r>
          </w:p>
        </w:tc>
        <w:tc>
          <w:tcPr>
            <w:tcW w:w="1182"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第一期</w:t>
            </w:r>
          </w:p>
        </w:tc>
        <w:tc>
          <w:tcPr>
            <w:tcW w:w="2891" w:type="dxa"/>
            <w:vAlign w:val="center"/>
          </w:tcPr>
          <w:p>
            <w:pPr>
              <w:widowControl/>
              <w:spacing w:line="360" w:lineRule="auto"/>
              <w:jc w:val="center"/>
              <w:rPr>
                <w:rFonts w:hint="eastAsia" w:ascii="宋体" w:hAnsi="宋体" w:eastAsia="宋体" w:cs="宋体"/>
                <w:kern w:val="0"/>
                <w:sz w:val="24"/>
              </w:rPr>
            </w:pPr>
          </w:p>
        </w:tc>
        <w:tc>
          <w:tcPr>
            <w:tcW w:w="1597" w:type="dxa"/>
            <w:vAlign w:val="center"/>
          </w:tcPr>
          <w:p>
            <w:pPr>
              <w:spacing w:line="360" w:lineRule="auto"/>
              <w:jc w:val="center"/>
              <w:rPr>
                <w:rFonts w:hint="eastAsia" w:ascii="宋体" w:hAnsi="宋体" w:eastAsia="宋体" w:cs="宋体"/>
                <w:kern w:val="0"/>
                <w:sz w:val="24"/>
              </w:rPr>
            </w:pPr>
          </w:p>
        </w:tc>
        <w:tc>
          <w:tcPr>
            <w:tcW w:w="2920" w:type="dxa"/>
            <w:vAlign w:val="center"/>
          </w:tcPr>
          <w:p>
            <w:pPr>
              <w:widowControl/>
              <w:spacing w:line="360" w:lineRule="auto"/>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第三年</w:t>
            </w:r>
          </w:p>
        </w:tc>
        <w:tc>
          <w:tcPr>
            <w:tcW w:w="1182"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第一期</w:t>
            </w:r>
          </w:p>
        </w:tc>
        <w:tc>
          <w:tcPr>
            <w:tcW w:w="2891" w:type="dxa"/>
            <w:vAlign w:val="center"/>
          </w:tcPr>
          <w:p>
            <w:pPr>
              <w:widowControl/>
              <w:spacing w:line="360" w:lineRule="auto"/>
              <w:jc w:val="center"/>
              <w:rPr>
                <w:rFonts w:hint="eastAsia" w:ascii="宋体" w:hAnsi="宋体" w:eastAsia="宋体" w:cs="宋体"/>
                <w:kern w:val="0"/>
                <w:sz w:val="24"/>
              </w:rPr>
            </w:pPr>
          </w:p>
        </w:tc>
        <w:tc>
          <w:tcPr>
            <w:tcW w:w="1597" w:type="dxa"/>
            <w:vAlign w:val="center"/>
          </w:tcPr>
          <w:p>
            <w:pPr>
              <w:spacing w:line="360" w:lineRule="auto"/>
              <w:jc w:val="center"/>
              <w:rPr>
                <w:rFonts w:hint="eastAsia" w:ascii="宋体" w:hAnsi="宋体" w:eastAsia="宋体" w:cs="宋体"/>
                <w:kern w:val="0"/>
                <w:sz w:val="24"/>
              </w:rPr>
            </w:pPr>
          </w:p>
        </w:tc>
        <w:tc>
          <w:tcPr>
            <w:tcW w:w="2920" w:type="dxa"/>
            <w:vAlign w:val="center"/>
          </w:tcPr>
          <w:p>
            <w:pPr>
              <w:widowControl/>
              <w:spacing w:line="360" w:lineRule="auto"/>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第四年</w:t>
            </w:r>
          </w:p>
        </w:tc>
        <w:tc>
          <w:tcPr>
            <w:tcW w:w="1182"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第一期</w:t>
            </w:r>
          </w:p>
        </w:tc>
        <w:tc>
          <w:tcPr>
            <w:tcW w:w="2891" w:type="dxa"/>
            <w:vAlign w:val="center"/>
          </w:tcPr>
          <w:p>
            <w:pPr>
              <w:widowControl/>
              <w:spacing w:line="360" w:lineRule="auto"/>
              <w:jc w:val="center"/>
              <w:rPr>
                <w:rFonts w:hint="eastAsia" w:ascii="宋体" w:hAnsi="宋体" w:eastAsia="宋体" w:cs="宋体"/>
                <w:kern w:val="0"/>
                <w:sz w:val="24"/>
              </w:rPr>
            </w:pPr>
          </w:p>
        </w:tc>
        <w:tc>
          <w:tcPr>
            <w:tcW w:w="1597" w:type="dxa"/>
            <w:vAlign w:val="center"/>
          </w:tcPr>
          <w:p>
            <w:pPr>
              <w:spacing w:line="360" w:lineRule="auto"/>
              <w:jc w:val="center"/>
              <w:rPr>
                <w:rFonts w:hint="eastAsia" w:ascii="宋体" w:hAnsi="宋体" w:eastAsia="宋体" w:cs="宋体"/>
                <w:kern w:val="0"/>
                <w:sz w:val="24"/>
              </w:rPr>
            </w:pPr>
          </w:p>
        </w:tc>
        <w:tc>
          <w:tcPr>
            <w:tcW w:w="2920" w:type="dxa"/>
            <w:vAlign w:val="center"/>
          </w:tcPr>
          <w:p>
            <w:pPr>
              <w:widowControl/>
              <w:spacing w:line="360" w:lineRule="auto"/>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第五年</w:t>
            </w:r>
          </w:p>
        </w:tc>
        <w:tc>
          <w:tcPr>
            <w:tcW w:w="1182"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第一期</w:t>
            </w:r>
          </w:p>
        </w:tc>
        <w:tc>
          <w:tcPr>
            <w:tcW w:w="2891" w:type="dxa"/>
            <w:vAlign w:val="center"/>
          </w:tcPr>
          <w:p>
            <w:pPr>
              <w:widowControl/>
              <w:spacing w:line="360" w:lineRule="auto"/>
              <w:jc w:val="center"/>
              <w:rPr>
                <w:rFonts w:hint="eastAsia" w:ascii="宋体" w:hAnsi="宋体" w:eastAsia="宋体" w:cs="宋体"/>
                <w:kern w:val="0"/>
                <w:sz w:val="24"/>
              </w:rPr>
            </w:pPr>
          </w:p>
        </w:tc>
        <w:tc>
          <w:tcPr>
            <w:tcW w:w="1597" w:type="dxa"/>
            <w:vAlign w:val="center"/>
          </w:tcPr>
          <w:p>
            <w:pPr>
              <w:spacing w:line="360" w:lineRule="auto"/>
              <w:jc w:val="center"/>
              <w:rPr>
                <w:rFonts w:hint="eastAsia" w:ascii="宋体" w:hAnsi="宋体" w:eastAsia="宋体" w:cs="宋体"/>
                <w:kern w:val="0"/>
                <w:sz w:val="24"/>
              </w:rPr>
            </w:pPr>
          </w:p>
        </w:tc>
        <w:tc>
          <w:tcPr>
            <w:tcW w:w="2920" w:type="dxa"/>
            <w:vAlign w:val="center"/>
          </w:tcPr>
          <w:p>
            <w:pPr>
              <w:widowControl/>
              <w:spacing w:line="360" w:lineRule="auto"/>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第六年</w:t>
            </w:r>
          </w:p>
        </w:tc>
        <w:tc>
          <w:tcPr>
            <w:tcW w:w="1182"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第一期</w:t>
            </w:r>
          </w:p>
        </w:tc>
        <w:tc>
          <w:tcPr>
            <w:tcW w:w="2891" w:type="dxa"/>
            <w:vAlign w:val="center"/>
          </w:tcPr>
          <w:p>
            <w:pPr>
              <w:widowControl/>
              <w:spacing w:line="360" w:lineRule="auto"/>
              <w:jc w:val="center"/>
              <w:rPr>
                <w:rFonts w:hint="eastAsia" w:ascii="宋体" w:hAnsi="宋体" w:eastAsia="宋体" w:cs="宋体"/>
                <w:kern w:val="0"/>
                <w:sz w:val="24"/>
              </w:rPr>
            </w:pPr>
          </w:p>
        </w:tc>
        <w:tc>
          <w:tcPr>
            <w:tcW w:w="1597" w:type="dxa"/>
            <w:vAlign w:val="center"/>
          </w:tcPr>
          <w:p>
            <w:pPr>
              <w:spacing w:line="360" w:lineRule="auto"/>
              <w:jc w:val="center"/>
              <w:rPr>
                <w:rFonts w:hint="eastAsia" w:ascii="宋体" w:hAnsi="宋体" w:eastAsia="宋体" w:cs="宋体"/>
                <w:kern w:val="0"/>
                <w:sz w:val="24"/>
              </w:rPr>
            </w:pPr>
          </w:p>
        </w:tc>
        <w:tc>
          <w:tcPr>
            <w:tcW w:w="2920" w:type="dxa"/>
            <w:vAlign w:val="center"/>
          </w:tcPr>
          <w:p>
            <w:pPr>
              <w:widowControl/>
              <w:spacing w:line="360" w:lineRule="auto"/>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第七年</w:t>
            </w:r>
          </w:p>
        </w:tc>
        <w:tc>
          <w:tcPr>
            <w:tcW w:w="1182"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第一期</w:t>
            </w:r>
          </w:p>
        </w:tc>
        <w:tc>
          <w:tcPr>
            <w:tcW w:w="2891" w:type="dxa"/>
            <w:vAlign w:val="center"/>
          </w:tcPr>
          <w:p>
            <w:pPr>
              <w:widowControl/>
              <w:spacing w:line="360" w:lineRule="auto"/>
              <w:jc w:val="center"/>
              <w:rPr>
                <w:rFonts w:hint="eastAsia" w:ascii="宋体" w:hAnsi="宋体" w:eastAsia="宋体" w:cs="宋体"/>
                <w:kern w:val="0"/>
                <w:sz w:val="24"/>
              </w:rPr>
            </w:pPr>
          </w:p>
        </w:tc>
        <w:tc>
          <w:tcPr>
            <w:tcW w:w="1597" w:type="dxa"/>
            <w:vAlign w:val="center"/>
          </w:tcPr>
          <w:p>
            <w:pPr>
              <w:spacing w:line="360" w:lineRule="auto"/>
              <w:jc w:val="center"/>
              <w:rPr>
                <w:rFonts w:hint="eastAsia" w:ascii="宋体" w:hAnsi="宋体" w:eastAsia="宋体" w:cs="宋体"/>
                <w:kern w:val="0"/>
                <w:sz w:val="24"/>
              </w:rPr>
            </w:pPr>
          </w:p>
        </w:tc>
        <w:tc>
          <w:tcPr>
            <w:tcW w:w="2920" w:type="dxa"/>
            <w:vAlign w:val="center"/>
          </w:tcPr>
          <w:p>
            <w:pPr>
              <w:widowControl/>
              <w:spacing w:line="360" w:lineRule="auto"/>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4"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第八年</w:t>
            </w:r>
          </w:p>
        </w:tc>
        <w:tc>
          <w:tcPr>
            <w:tcW w:w="1182"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第一期</w:t>
            </w:r>
          </w:p>
        </w:tc>
        <w:tc>
          <w:tcPr>
            <w:tcW w:w="2891" w:type="dxa"/>
            <w:vAlign w:val="center"/>
          </w:tcPr>
          <w:p>
            <w:pPr>
              <w:widowControl/>
              <w:spacing w:line="360" w:lineRule="auto"/>
              <w:jc w:val="center"/>
              <w:rPr>
                <w:rFonts w:hint="eastAsia" w:ascii="宋体" w:hAnsi="宋体" w:eastAsia="宋体" w:cs="宋体"/>
                <w:kern w:val="0"/>
                <w:sz w:val="24"/>
              </w:rPr>
            </w:pPr>
          </w:p>
        </w:tc>
        <w:tc>
          <w:tcPr>
            <w:tcW w:w="1597" w:type="dxa"/>
            <w:vAlign w:val="center"/>
          </w:tcPr>
          <w:p>
            <w:pPr>
              <w:spacing w:line="360" w:lineRule="auto"/>
              <w:jc w:val="center"/>
              <w:rPr>
                <w:rFonts w:hint="eastAsia" w:ascii="宋体" w:hAnsi="宋体" w:eastAsia="宋体" w:cs="宋体"/>
                <w:kern w:val="0"/>
                <w:sz w:val="24"/>
              </w:rPr>
            </w:pPr>
          </w:p>
        </w:tc>
        <w:tc>
          <w:tcPr>
            <w:tcW w:w="2920" w:type="dxa"/>
            <w:vAlign w:val="center"/>
          </w:tcPr>
          <w:p>
            <w:pPr>
              <w:widowControl/>
              <w:spacing w:line="360" w:lineRule="auto"/>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第九年</w:t>
            </w:r>
          </w:p>
        </w:tc>
        <w:tc>
          <w:tcPr>
            <w:tcW w:w="1182"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第一期</w:t>
            </w:r>
          </w:p>
        </w:tc>
        <w:tc>
          <w:tcPr>
            <w:tcW w:w="2891" w:type="dxa"/>
            <w:vAlign w:val="center"/>
          </w:tcPr>
          <w:p>
            <w:pPr>
              <w:widowControl/>
              <w:spacing w:line="360" w:lineRule="auto"/>
              <w:jc w:val="center"/>
              <w:rPr>
                <w:rFonts w:hint="eastAsia" w:ascii="宋体" w:hAnsi="宋体" w:eastAsia="宋体" w:cs="宋体"/>
                <w:kern w:val="0"/>
                <w:sz w:val="24"/>
              </w:rPr>
            </w:pPr>
          </w:p>
        </w:tc>
        <w:tc>
          <w:tcPr>
            <w:tcW w:w="1597" w:type="dxa"/>
            <w:vAlign w:val="center"/>
          </w:tcPr>
          <w:p>
            <w:pPr>
              <w:spacing w:line="360" w:lineRule="auto"/>
              <w:jc w:val="center"/>
              <w:rPr>
                <w:rFonts w:hint="eastAsia" w:ascii="宋体" w:hAnsi="宋体" w:eastAsia="宋体" w:cs="宋体"/>
                <w:kern w:val="0"/>
                <w:sz w:val="24"/>
              </w:rPr>
            </w:pPr>
          </w:p>
        </w:tc>
        <w:tc>
          <w:tcPr>
            <w:tcW w:w="2920" w:type="dxa"/>
            <w:vAlign w:val="center"/>
          </w:tcPr>
          <w:p>
            <w:pPr>
              <w:widowControl/>
              <w:spacing w:line="360" w:lineRule="auto"/>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第十年</w:t>
            </w:r>
          </w:p>
        </w:tc>
        <w:tc>
          <w:tcPr>
            <w:tcW w:w="1182" w:type="dxa"/>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第一期</w:t>
            </w:r>
          </w:p>
        </w:tc>
        <w:tc>
          <w:tcPr>
            <w:tcW w:w="2891" w:type="dxa"/>
            <w:vAlign w:val="center"/>
          </w:tcPr>
          <w:p>
            <w:pPr>
              <w:widowControl/>
              <w:spacing w:line="360" w:lineRule="auto"/>
              <w:jc w:val="center"/>
              <w:rPr>
                <w:rFonts w:hint="eastAsia" w:ascii="宋体" w:hAnsi="宋体" w:eastAsia="宋体" w:cs="宋体"/>
                <w:kern w:val="0"/>
                <w:sz w:val="24"/>
              </w:rPr>
            </w:pPr>
          </w:p>
        </w:tc>
        <w:tc>
          <w:tcPr>
            <w:tcW w:w="1597" w:type="dxa"/>
            <w:vAlign w:val="center"/>
          </w:tcPr>
          <w:p>
            <w:pPr>
              <w:spacing w:line="360" w:lineRule="auto"/>
              <w:jc w:val="center"/>
              <w:rPr>
                <w:rFonts w:hint="eastAsia" w:ascii="宋体" w:hAnsi="宋体" w:eastAsia="宋体" w:cs="宋体"/>
                <w:kern w:val="0"/>
                <w:sz w:val="24"/>
              </w:rPr>
            </w:pPr>
          </w:p>
        </w:tc>
        <w:tc>
          <w:tcPr>
            <w:tcW w:w="2920" w:type="dxa"/>
            <w:vAlign w:val="center"/>
          </w:tcPr>
          <w:p>
            <w:pPr>
              <w:widowControl/>
              <w:spacing w:line="360" w:lineRule="auto"/>
              <w:jc w:val="center"/>
              <w:rPr>
                <w:rFonts w:hint="eastAsia" w:ascii="宋体" w:hAnsi="宋体" w:eastAsia="宋体" w:cs="宋体"/>
                <w:kern w:val="0"/>
                <w:sz w:val="24"/>
              </w:rPr>
            </w:pPr>
          </w:p>
        </w:tc>
      </w:tr>
    </w:tbl>
    <w:p>
      <w:pPr>
        <w:pStyle w:val="2"/>
        <w:numPr>
          <w:ilvl w:val="-1"/>
          <w:numId w:val="0"/>
        </w:numPr>
        <w:ind w:left="0" w:firstLine="0"/>
      </w:pPr>
    </w:p>
    <w:p>
      <w:pPr>
        <w:pStyle w:val="2"/>
        <w:numPr>
          <w:ilvl w:val="-1"/>
          <w:numId w:val="0"/>
        </w:numPr>
        <w:ind w:left="0" w:firstLine="0"/>
      </w:pPr>
    </w:p>
    <w:p>
      <w:pPr>
        <w:tabs>
          <w:tab w:val="left" w:pos="360"/>
        </w:tabs>
        <w:spacing w:line="360" w:lineRule="exact"/>
        <w:ind w:firstLine="360" w:firstLineChars="150"/>
        <w:rPr>
          <w:rFonts w:hint="eastAsia" w:ascii="宋体" w:hAnsi="宋体" w:eastAsia="宋体" w:cs="宋体"/>
          <w:sz w:val="24"/>
          <w:lang w:eastAsia="zh-CN"/>
        </w:rPr>
      </w:pPr>
      <w:r>
        <w:rPr>
          <w:rFonts w:hint="eastAsia" w:ascii="宋体" w:hAnsi="宋体" w:eastAsia="宋体" w:cs="宋体"/>
          <w:sz w:val="24"/>
        </w:rPr>
        <w:t>租金</w:t>
      </w:r>
      <w:r>
        <w:rPr>
          <w:rFonts w:hint="eastAsia" w:ascii="宋体" w:hAnsi="宋体" w:cs="宋体"/>
          <w:sz w:val="24"/>
          <w:lang w:val="en-US" w:eastAsia="zh-CN"/>
        </w:rPr>
        <w:t>对照</w:t>
      </w:r>
      <w:r>
        <w:rPr>
          <w:rFonts w:hint="eastAsia" w:ascii="宋体" w:hAnsi="宋体" w:eastAsia="宋体" w:cs="宋体"/>
          <w:sz w:val="24"/>
        </w:rPr>
        <w:t>明细表</w:t>
      </w:r>
    </w:p>
    <w:p>
      <w:pPr>
        <w:rPr>
          <w:rFonts w:hint="eastAsia" w:ascii="宋体" w:hAnsi="宋体" w:cs="宋体"/>
        </w:rPr>
      </w:pPr>
    </w:p>
    <w:tbl>
      <w:tblPr>
        <w:tblStyle w:val="25"/>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182"/>
        <w:gridCol w:w="2891"/>
        <w:gridCol w:w="1955"/>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1184"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租赁年度</w:t>
            </w:r>
          </w:p>
        </w:tc>
        <w:tc>
          <w:tcPr>
            <w:tcW w:w="1182"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年递增率</w:t>
            </w:r>
          </w:p>
        </w:tc>
        <w:tc>
          <w:tcPr>
            <w:tcW w:w="2891"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color w:val="000000"/>
                <w:kern w:val="0"/>
                <w:sz w:val="24"/>
                <w:lang w:val="en-US" w:eastAsia="zh-CN"/>
              </w:rPr>
              <w:t>地下净菜超市及地下库租金（万元）</w:t>
            </w:r>
          </w:p>
        </w:tc>
        <w:tc>
          <w:tcPr>
            <w:tcW w:w="1955" w:type="dxa"/>
            <w:noWrap w:val="0"/>
            <w:vAlign w:val="center"/>
          </w:tcPr>
          <w:p>
            <w:pPr>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充电桩等额年租金</w:t>
            </w:r>
            <w:r>
              <w:rPr>
                <w:rFonts w:hint="eastAsia" w:ascii="宋体" w:hAnsi="宋体" w:cs="宋体"/>
                <w:color w:val="000000"/>
                <w:kern w:val="0"/>
                <w:sz w:val="24"/>
                <w:lang w:val="en-US" w:eastAsia="zh-CN"/>
              </w:rPr>
              <w:t>（万元）</w:t>
            </w:r>
          </w:p>
        </w:tc>
        <w:tc>
          <w:tcPr>
            <w:tcW w:w="2307" w:type="dxa"/>
            <w:noWrap w:val="0"/>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合计年租金租金低价</w:t>
            </w:r>
            <w:r>
              <w:rPr>
                <w:rFonts w:hint="eastAsia" w:ascii="宋体" w:hAnsi="宋体" w:cs="宋体"/>
                <w:color w:val="000000"/>
                <w:kern w:val="0"/>
                <w:sz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jc w:val="center"/>
        </w:trPr>
        <w:tc>
          <w:tcPr>
            <w:tcW w:w="1184"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第一年</w:t>
            </w:r>
          </w:p>
        </w:tc>
        <w:tc>
          <w:tcPr>
            <w:tcW w:w="1182" w:type="dxa"/>
            <w:noWrap w:val="0"/>
            <w:vAlign w:val="center"/>
          </w:tcPr>
          <w:p>
            <w:pPr>
              <w:widowControl/>
              <w:spacing w:line="360" w:lineRule="auto"/>
              <w:jc w:val="center"/>
              <w:rPr>
                <w:rFonts w:hint="eastAsia" w:ascii="宋体" w:hAnsi="宋体" w:eastAsia="宋体" w:cs="宋体"/>
                <w:kern w:val="0"/>
                <w:sz w:val="24"/>
              </w:rPr>
            </w:pPr>
          </w:p>
        </w:tc>
        <w:tc>
          <w:tcPr>
            <w:tcW w:w="2891"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100.97</w:t>
            </w:r>
          </w:p>
        </w:tc>
        <w:tc>
          <w:tcPr>
            <w:tcW w:w="1955" w:type="dxa"/>
            <w:noWrap w:val="0"/>
            <w:vAlign w:val="center"/>
          </w:tcPr>
          <w:p>
            <w:pPr>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8.17</w:t>
            </w:r>
          </w:p>
        </w:tc>
        <w:tc>
          <w:tcPr>
            <w:tcW w:w="2307" w:type="dxa"/>
            <w:noWrap w:val="0"/>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第二年</w:t>
            </w:r>
          </w:p>
        </w:tc>
        <w:tc>
          <w:tcPr>
            <w:tcW w:w="1182"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w:t>
            </w:r>
          </w:p>
        </w:tc>
        <w:tc>
          <w:tcPr>
            <w:tcW w:w="2891"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102.99</w:t>
            </w:r>
          </w:p>
        </w:tc>
        <w:tc>
          <w:tcPr>
            <w:tcW w:w="1955" w:type="dxa"/>
            <w:noWrap w:val="0"/>
            <w:vAlign w:val="center"/>
          </w:tcPr>
          <w:p>
            <w:pPr>
              <w:spacing w:line="360" w:lineRule="auto"/>
              <w:jc w:val="center"/>
              <w:rPr>
                <w:rFonts w:hint="eastAsia" w:ascii="宋体" w:hAnsi="宋体" w:eastAsia="宋体" w:cs="宋体"/>
                <w:kern w:val="0"/>
                <w:sz w:val="24"/>
              </w:rPr>
            </w:pPr>
            <w:r>
              <w:rPr>
                <w:rFonts w:hint="eastAsia" w:ascii="宋体" w:hAnsi="宋体" w:cs="宋体"/>
                <w:kern w:val="0"/>
                <w:sz w:val="24"/>
                <w:lang w:val="en-US" w:eastAsia="zh-CN"/>
              </w:rPr>
              <w:t>8.17</w:t>
            </w:r>
          </w:p>
        </w:tc>
        <w:tc>
          <w:tcPr>
            <w:tcW w:w="2307"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第三年</w:t>
            </w:r>
          </w:p>
        </w:tc>
        <w:tc>
          <w:tcPr>
            <w:tcW w:w="1182"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cs="宋体"/>
                <w:kern w:val="0"/>
                <w:sz w:val="24"/>
                <w:lang w:val="en-US" w:eastAsia="zh-CN"/>
              </w:rPr>
              <w:t>2%</w:t>
            </w:r>
          </w:p>
        </w:tc>
        <w:tc>
          <w:tcPr>
            <w:tcW w:w="2891"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105.05</w:t>
            </w:r>
          </w:p>
        </w:tc>
        <w:tc>
          <w:tcPr>
            <w:tcW w:w="1955" w:type="dxa"/>
            <w:noWrap w:val="0"/>
            <w:vAlign w:val="center"/>
          </w:tcPr>
          <w:p>
            <w:pPr>
              <w:spacing w:line="360" w:lineRule="auto"/>
              <w:jc w:val="center"/>
              <w:rPr>
                <w:rFonts w:hint="eastAsia" w:ascii="宋体" w:hAnsi="宋体" w:eastAsia="宋体" w:cs="宋体"/>
                <w:kern w:val="0"/>
                <w:sz w:val="24"/>
              </w:rPr>
            </w:pPr>
            <w:r>
              <w:rPr>
                <w:rFonts w:hint="eastAsia" w:ascii="宋体" w:hAnsi="宋体" w:cs="宋体"/>
                <w:kern w:val="0"/>
                <w:sz w:val="24"/>
                <w:lang w:val="en-US" w:eastAsia="zh-CN"/>
              </w:rPr>
              <w:t>8.17</w:t>
            </w:r>
          </w:p>
        </w:tc>
        <w:tc>
          <w:tcPr>
            <w:tcW w:w="2307"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第四年</w:t>
            </w:r>
          </w:p>
        </w:tc>
        <w:tc>
          <w:tcPr>
            <w:tcW w:w="1182"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cs="宋体"/>
                <w:kern w:val="0"/>
                <w:sz w:val="24"/>
                <w:lang w:val="en-US" w:eastAsia="zh-CN"/>
              </w:rPr>
              <w:t>2%</w:t>
            </w:r>
          </w:p>
        </w:tc>
        <w:tc>
          <w:tcPr>
            <w:tcW w:w="2891"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117.87</w:t>
            </w:r>
          </w:p>
        </w:tc>
        <w:tc>
          <w:tcPr>
            <w:tcW w:w="1955" w:type="dxa"/>
            <w:noWrap w:val="0"/>
            <w:vAlign w:val="center"/>
          </w:tcPr>
          <w:p>
            <w:pPr>
              <w:spacing w:line="360" w:lineRule="auto"/>
              <w:jc w:val="center"/>
              <w:rPr>
                <w:rFonts w:hint="eastAsia" w:ascii="宋体" w:hAnsi="宋体" w:eastAsia="宋体" w:cs="宋体"/>
                <w:kern w:val="0"/>
                <w:sz w:val="24"/>
              </w:rPr>
            </w:pPr>
            <w:r>
              <w:rPr>
                <w:rFonts w:hint="eastAsia" w:ascii="宋体" w:hAnsi="宋体" w:cs="宋体"/>
                <w:kern w:val="0"/>
                <w:sz w:val="24"/>
                <w:lang w:val="en-US" w:eastAsia="zh-CN"/>
              </w:rPr>
              <w:t>8.17</w:t>
            </w:r>
          </w:p>
        </w:tc>
        <w:tc>
          <w:tcPr>
            <w:tcW w:w="2307"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126.04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第五年</w:t>
            </w:r>
          </w:p>
        </w:tc>
        <w:tc>
          <w:tcPr>
            <w:tcW w:w="1182"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cs="宋体"/>
                <w:kern w:val="0"/>
                <w:sz w:val="24"/>
                <w:lang w:val="en-US" w:eastAsia="zh-CN"/>
              </w:rPr>
              <w:t>2%</w:t>
            </w:r>
          </w:p>
        </w:tc>
        <w:tc>
          <w:tcPr>
            <w:tcW w:w="2891"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131.16</w:t>
            </w:r>
          </w:p>
        </w:tc>
        <w:tc>
          <w:tcPr>
            <w:tcW w:w="1955" w:type="dxa"/>
            <w:noWrap w:val="0"/>
            <w:vAlign w:val="center"/>
          </w:tcPr>
          <w:p>
            <w:pPr>
              <w:spacing w:line="360" w:lineRule="auto"/>
              <w:jc w:val="center"/>
              <w:rPr>
                <w:rFonts w:hint="eastAsia" w:ascii="宋体" w:hAnsi="宋体" w:eastAsia="宋体" w:cs="宋体"/>
                <w:kern w:val="0"/>
                <w:sz w:val="24"/>
              </w:rPr>
            </w:pPr>
            <w:r>
              <w:rPr>
                <w:rFonts w:hint="eastAsia" w:ascii="宋体" w:hAnsi="宋体" w:cs="宋体"/>
                <w:kern w:val="0"/>
                <w:sz w:val="24"/>
                <w:lang w:val="en-US" w:eastAsia="zh-CN"/>
              </w:rPr>
              <w:t>8.17</w:t>
            </w:r>
          </w:p>
        </w:tc>
        <w:tc>
          <w:tcPr>
            <w:tcW w:w="2307"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139.33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第六年</w:t>
            </w:r>
          </w:p>
        </w:tc>
        <w:tc>
          <w:tcPr>
            <w:tcW w:w="1182"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cs="宋体"/>
                <w:kern w:val="0"/>
                <w:sz w:val="24"/>
                <w:lang w:val="en-US" w:eastAsia="zh-CN"/>
              </w:rPr>
              <w:t>2%</w:t>
            </w:r>
          </w:p>
        </w:tc>
        <w:tc>
          <w:tcPr>
            <w:tcW w:w="2891"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156.08</w:t>
            </w:r>
          </w:p>
        </w:tc>
        <w:tc>
          <w:tcPr>
            <w:tcW w:w="1955" w:type="dxa"/>
            <w:noWrap w:val="0"/>
            <w:vAlign w:val="center"/>
          </w:tcPr>
          <w:p>
            <w:pPr>
              <w:spacing w:line="360" w:lineRule="auto"/>
              <w:jc w:val="center"/>
              <w:rPr>
                <w:rFonts w:hint="eastAsia" w:ascii="宋体" w:hAnsi="宋体" w:eastAsia="宋体" w:cs="宋体"/>
                <w:kern w:val="0"/>
                <w:sz w:val="24"/>
              </w:rPr>
            </w:pPr>
            <w:r>
              <w:rPr>
                <w:rFonts w:hint="eastAsia" w:ascii="宋体" w:hAnsi="宋体" w:cs="宋体"/>
                <w:kern w:val="0"/>
                <w:sz w:val="24"/>
                <w:lang w:val="en-US" w:eastAsia="zh-CN"/>
              </w:rPr>
              <w:t>8.17</w:t>
            </w:r>
          </w:p>
        </w:tc>
        <w:tc>
          <w:tcPr>
            <w:tcW w:w="2307"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164.25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第七年</w:t>
            </w:r>
          </w:p>
        </w:tc>
        <w:tc>
          <w:tcPr>
            <w:tcW w:w="1182"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cs="宋体"/>
                <w:kern w:val="0"/>
                <w:sz w:val="24"/>
                <w:lang w:val="en-US" w:eastAsia="zh-CN"/>
              </w:rPr>
              <w:t>2%</w:t>
            </w:r>
          </w:p>
        </w:tc>
        <w:tc>
          <w:tcPr>
            <w:tcW w:w="2891"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181.94</w:t>
            </w:r>
          </w:p>
        </w:tc>
        <w:tc>
          <w:tcPr>
            <w:tcW w:w="1955" w:type="dxa"/>
            <w:noWrap w:val="0"/>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8.17</w:t>
            </w:r>
          </w:p>
        </w:tc>
        <w:tc>
          <w:tcPr>
            <w:tcW w:w="2307"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190.11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4"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第八年</w:t>
            </w:r>
          </w:p>
        </w:tc>
        <w:tc>
          <w:tcPr>
            <w:tcW w:w="1182"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cs="宋体"/>
                <w:kern w:val="0"/>
                <w:sz w:val="24"/>
                <w:lang w:val="en-US" w:eastAsia="zh-CN"/>
              </w:rPr>
              <w:t>2%</w:t>
            </w:r>
          </w:p>
        </w:tc>
        <w:tc>
          <w:tcPr>
            <w:tcW w:w="2891"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208.78</w:t>
            </w:r>
          </w:p>
        </w:tc>
        <w:tc>
          <w:tcPr>
            <w:tcW w:w="1955" w:type="dxa"/>
            <w:noWrap w:val="0"/>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8.17</w:t>
            </w:r>
          </w:p>
        </w:tc>
        <w:tc>
          <w:tcPr>
            <w:tcW w:w="2307"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216.95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第九年</w:t>
            </w:r>
          </w:p>
        </w:tc>
        <w:tc>
          <w:tcPr>
            <w:tcW w:w="1182"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cs="宋体"/>
                <w:kern w:val="0"/>
                <w:sz w:val="24"/>
                <w:lang w:val="en-US" w:eastAsia="zh-CN"/>
              </w:rPr>
              <w:t>2%</w:t>
            </w:r>
          </w:p>
        </w:tc>
        <w:tc>
          <w:tcPr>
            <w:tcW w:w="2891"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236.61</w:t>
            </w:r>
          </w:p>
        </w:tc>
        <w:tc>
          <w:tcPr>
            <w:tcW w:w="1955" w:type="dxa"/>
            <w:noWrap w:val="0"/>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8.17</w:t>
            </w:r>
          </w:p>
        </w:tc>
        <w:tc>
          <w:tcPr>
            <w:tcW w:w="2307"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244.78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第十年</w:t>
            </w:r>
          </w:p>
        </w:tc>
        <w:tc>
          <w:tcPr>
            <w:tcW w:w="1182" w:type="dxa"/>
            <w:noWrap w:val="0"/>
            <w:vAlign w:val="center"/>
          </w:tcPr>
          <w:p>
            <w:pPr>
              <w:widowControl/>
              <w:spacing w:line="360" w:lineRule="auto"/>
              <w:jc w:val="center"/>
              <w:rPr>
                <w:rFonts w:hint="eastAsia" w:ascii="宋体" w:hAnsi="宋体" w:eastAsia="宋体" w:cs="宋体"/>
                <w:kern w:val="0"/>
                <w:sz w:val="24"/>
              </w:rPr>
            </w:pPr>
            <w:r>
              <w:rPr>
                <w:rFonts w:hint="eastAsia" w:ascii="宋体" w:hAnsi="宋体" w:cs="宋体"/>
                <w:kern w:val="0"/>
                <w:sz w:val="24"/>
                <w:lang w:val="en-US" w:eastAsia="zh-CN"/>
              </w:rPr>
              <w:t>2%</w:t>
            </w:r>
          </w:p>
        </w:tc>
        <w:tc>
          <w:tcPr>
            <w:tcW w:w="2891"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241.34</w:t>
            </w:r>
          </w:p>
        </w:tc>
        <w:tc>
          <w:tcPr>
            <w:tcW w:w="1955" w:type="dxa"/>
            <w:noWrap w:val="0"/>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8.17</w:t>
            </w:r>
          </w:p>
        </w:tc>
        <w:tc>
          <w:tcPr>
            <w:tcW w:w="2307"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249.51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184" w:type="dxa"/>
            <w:noWrap w:val="0"/>
            <w:vAlign w:val="center"/>
          </w:tcPr>
          <w:p>
            <w:pPr>
              <w:widowControl/>
              <w:spacing w:line="360" w:lineRule="auto"/>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合计</w:t>
            </w:r>
          </w:p>
        </w:tc>
        <w:tc>
          <w:tcPr>
            <w:tcW w:w="1182" w:type="dxa"/>
            <w:noWrap w:val="0"/>
            <w:vAlign w:val="center"/>
          </w:tcPr>
          <w:p>
            <w:pPr>
              <w:widowControl/>
              <w:spacing w:line="360" w:lineRule="auto"/>
              <w:jc w:val="center"/>
              <w:rPr>
                <w:rFonts w:hint="eastAsia" w:ascii="宋体" w:hAnsi="宋体" w:cs="宋体"/>
                <w:kern w:val="0"/>
                <w:sz w:val="24"/>
                <w:lang w:val="en-US" w:eastAsia="zh-CN"/>
              </w:rPr>
            </w:pPr>
          </w:p>
        </w:tc>
        <w:tc>
          <w:tcPr>
            <w:tcW w:w="2891" w:type="dxa"/>
            <w:noWrap w:val="0"/>
            <w:vAlign w:val="center"/>
          </w:tcPr>
          <w:p>
            <w:pPr>
              <w:widowControl/>
              <w:spacing w:line="36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1582.79</w:t>
            </w:r>
          </w:p>
        </w:tc>
        <w:tc>
          <w:tcPr>
            <w:tcW w:w="1955" w:type="dxa"/>
            <w:noWrap w:val="0"/>
            <w:vAlign w:val="center"/>
          </w:tcPr>
          <w:p>
            <w:pPr>
              <w:spacing w:line="360" w:lineRule="auto"/>
              <w:jc w:val="center"/>
              <w:rPr>
                <w:rFonts w:hint="eastAsia" w:ascii="宋体" w:hAnsi="宋体" w:eastAsia="宋体" w:cs="宋体"/>
                <w:kern w:val="0"/>
                <w:sz w:val="24"/>
              </w:rPr>
            </w:pPr>
          </w:p>
        </w:tc>
        <w:tc>
          <w:tcPr>
            <w:tcW w:w="2307" w:type="dxa"/>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1664.49</w:t>
            </w:r>
          </w:p>
        </w:tc>
      </w:tr>
    </w:tbl>
    <w:p>
      <w:pPr>
        <w:rPr>
          <w:rFonts w:ascii="宋体" w:hAnsi="宋体" w:eastAsia="宋体"/>
        </w:rPr>
      </w:pPr>
    </w:p>
    <w:p>
      <w:pPr>
        <w:rPr>
          <w:rFonts w:hint="eastAsia" w:eastAsia="宋体"/>
          <w:lang w:val="en-US" w:eastAsia="zh-CN"/>
        </w:rPr>
      </w:pPr>
      <w:r>
        <w:rPr>
          <w:rFonts w:hint="eastAsia" w:ascii="宋体" w:hAnsi="宋体" w:eastAsia="宋体"/>
          <w:sz w:val="24"/>
        </w:rPr>
        <w:t>租金支付方式：每年应支付租金公式为：当年年租金=拍租中标金额/十年租金评估值之</w:t>
      </w:r>
      <w:r>
        <w:rPr>
          <w:rFonts w:hint="eastAsia" w:ascii="宋体" w:hAnsi="宋体" w:eastAsia="宋体"/>
          <w:sz w:val="24"/>
          <w:lang w:val="en-US" w:eastAsia="zh-Hans"/>
        </w:rPr>
        <w:t>和</w:t>
      </w:r>
      <w:r>
        <w:rPr>
          <w:rFonts w:hint="eastAsia" w:ascii="宋体" w:hAnsi="宋体" w:eastAsia="宋体"/>
          <w:sz w:val="24"/>
        </w:rPr>
        <w:t>*当年合计年租金评估值。</w:t>
      </w:r>
    </w:p>
    <w:p>
      <w:pPr>
        <w:pStyle w:val="2"/>
        <w:numPr>
          <w:ilvl w:val="-1"/>
          <w:numId w:val="0"/>
        </w:numPr>
        <w:ind w:left="0" w:firstLine="0"/>
      </w:pPr>
      <w:bookmarkStart w:id="0" w:name="_GoBack"/>
      <w:bookmarkEnd w:id="0"/>
    </w:p>
    <w:sectPr>
      <w:footerReference r:id="rId4" w:type="first"/>
      <w:footerReference r:id="rId3" w:type="default"/>
      <w:pgSz w:w="11906" w:h="16838"/>
      <w:pgMar w:top="1417" w:right="1418" w:bottom="1417" w:left="1418" w:header="851" w:footer="296"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eastAsia="仿宋_GB2312"/>
        <w:sz w:val="21"/>
        <w:szCs w:val="21"/>
      </w:rPr>
    </w:pPr>
    <w:r>
      <w:rPr>
        <w:rFonts w:eastAsia="仿宋_GB2312"/>
        <w:kern w:val="0"/>
        <w:sz w:val="21"/>
        <w:szCs w:val="21"/>
      </w:rPr>
      <w:t>第</w:t>
    </w:r>
    <w:r>
      <w:rPr>
        <w:rFonts w:eastAsia="仿宋_GB2312"/>
        <w:kern w:val="0"/>
        <w:sz w:val="21"/>
        <w:szCs w:val="21"/>
      </w:rPr>
      <w:fldChar w:fldCharType="begin"/>
    </w:r>
    <w:r>
      <w:rPr>
        <w:rFonts w:eastAsia="仿宋_GB2312"/>
        <w:kern w:val="0"/>
        <w:sz w:val="21"/>
        <w:szCs w:val="21"/>
      </w:rPr>
      <w:instrText xml:space="preserve"> PAGE </w:instrText>
    </w:r>
    <w:r>
      <w:rPr>
        <w:rFonts w:eastAsia="仿宋_GB2312"/>
        <w:kern w:val="0"/>
        <w:sz w:val="21"/>
        <w:szCs w:val="21"/>
      </w:rPr>
      <w:fldChar w:fldCharType="separate"/>
    </w:r>
    <w:r>
      <w:rPr>
        <w:rFonts w:eastAsia="仿宋_GB2312"/>
        <w:kern w:val="0"/>
        <w:sz w:val="21"/>
        <w:szCs w:val="21"/>
      </w:rPr>
      <w:t>12</w:t>
    </w:r>
    <w:r>
      <w:rPr>
        <w:rFonts w:eastAsia="仿宋_GB2312"/>
        <w:kern w:val="0"/>
        <w:sz w:val="21"/>
        <w:szCs w:val="21"/>
      </w:rPr>
      <w:fldChar w:fldCharType="end"/>
    </w:r>
    <w:r>
      <w:rPr>
        <w:rFonts w:eastAsia="仿宋_GB2312"/>
        <w:kern w:val="0"/>
        <w:sz w:val="21"/>
        <w:szCs w:val="21"/>
      </w:rPr>
      <w:t>页共</w:t>
    </w:r>
    <w:r>
      <w:rPr>
        <w:rFonts w:eastAsia="仿宋_GB2312"/>
        <w:kern w:val="0"/>
        <w:sz w:val="21"/>
        <w:szCs w:val="21"/>
      </w:rPr>
      <w:fldChar w:fldCharType="begin"/>
    </w:r>
    <w:r>
      <w:rPr>
        <w:rFonts w:eastAsia="仿宋_GB2312"/>
        <w:kern w:val="0"/>
        <w:sz w:val="21"/>
        <w:szCs w:val="21"/>
      </w:rPr>
      <w:instrText xml:space="preserve"> NUMPAGES </w:instrText>
    </w:r>
    <w:r>
      <w:rPr>
        <w:rFonts w:eastAsia="仿宋_GB2312"/>
        <w:kern w:val="0"/>
        <w:sz w:val="21"/>
        <w:szCs w:val="21"/>
      </w:rPr>
      <w:fldChar w:fldCharType="separate"/>
    </w:r>
    <w:r>
      <w:rPr>
        <w:rFonts w:eastAsia="仿宋_GB2312"/>
        <w:kern w:val="0"/>
        <w:sz w:val="21"/>
        <w:szCs w:val="21"/>
      </w:rPr>
      <w:t>12</w:t>
    </w:r>
    <w:r>
      <w:rPr>
        <w:rFonts w:eastAsia="仿宋_GB2312"/>
        <w:kern w:val="0"/>
        <w:sz w:val="21"/>
        <w:szCs w:val="21"/>
      </w:rPr>
      <w:fldChar w:fldCharType="end"/>
    </w:r>
    <w:r>
      <w:rPr>
        <w:rFonts w:eastAsia="仿宋_GB2312"/>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3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75ED45FA"/>
    <w:multiLevelType w:val="singleLevel"/>
    <w:tmpl w:val="75ED45FA"/>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YjFlYjkzNTk4ZDhlNjM5YzY1ZGZiNjIwY2ViMDkifQ=="/>
  </w:docVars>
  <w:rsids>
    <w:rsidRoot w:val="00A157C2"/>
    <w:rsid w:val="00001990"/>
    <w:rsid w:val="00002413"/>
    <w:rsid w:val="000027E7"/>
    <w:rsid w:val="000132F4"/>
    <w:rsid w:val="00021D54"/>
    <w:rsid w:val="00022D13"/>
    <w:rsid w:val="00025CDB"/>
    <w:rsid w:val="0002786E"/>
    <w:rsid w:val="00030A39"/>
    <w:rsid w:val="000332AB"/>
    <w:rsid w:val="00033EF1"/>
    <w:rsid w:val="00034482"/>
    <w:rsid w:val="00034AE4"/>
    <w:rsid w:val="00045CF1"/>
    <w:rsid w:val="0005215A"/>
    <w:rsid w:val="00055D9B"/>
    <w:rsid w:val="00061273"/>
    <w:rsid w:val="00067340"/>
    <w:rsid w:val="00073C1B"/>
    <w:rsid w:val="00074901"/>
    <w:rsid w:val="00080F79"/>
    <w:rsid w:val="00083864"/>
    <w:rsid w:val="00083928"/>
    <w:rsid w:val="00087AC3"/>
    <w:rsid w:val="0009041D"/>
    <w:rsid w:val="000904AF"/>
    <w:rsid w:val="00090EAE"/>
    <w:rsid w:val="00094761"/>
    <w:rsid w:val="000A28A6"/>
    <w:rsid w:val="000A6A1F"/>
    <w:rsid w:val="000B25C5"/>
    <w:rsid w:val="000B2A63"/>
    <w:rsid w:val="000B6922"/>
    <w:rsid w:val="000B6D23"/>
    <w:rsid w:val="000B7C89"/>
    <w:rsid w:val="000C36CB"/>
    <w:rsid w:val="000C371D"/>
    <w:rsid w:val="000D3D23"/>
    <w:rsid w:val="000E53D3"/>
    <w:rsid w:val="000F24D3"/>
    <w:rsid w:val="00104990"/>
    <w:rsid w:val="00115D56"/>
    <w:rsid w:val="00116571"/>
    <w:rsid w:val="00120300"/>
    <w:rsid w:val="001312EA"/>
    <w:rsid w:val="00134512"/>
    <w:rsid w:val="00140EC2"/>
    <w:rsid w:val="00140ED2"/>
    <w:rsid w:val="0015426C"/>
    <w:rsid w:val="001552CB"/>
    <w:rsid w:val="00156D66"/>
    <w:rsid w:val="001574B9"/>
    <w:rsid w:val="001600D8"/>
    <w:rsid w:val="00160B69"/>
    <w:rsid w:val="001620A3"/>
    <w:rsid w:val="00164BAE"/>
    <w:rsid w:val="00181DFE"/>
    <w:rsid w:val="001855C6"/>
    <w:rsid w:val="001A4D7D"/>
    <w:rsid w:val="001B0F5D"/>
    <w:rsid w:val="001B1421"/>
    <w:rsid w:val="001B5D39"/>
    <w:rsid w:val="001B5EEE"/>
    <w:rsid w:val="001B77B0"/>
    <w:rsid w:val="001C0EC2"/>
    <w:rsid w:val="001C3F0E"/>
    <w:rsid w:val="001C60B6"/>
    <w:rsid w:val="001D2577"/>
    <w:rsid w:val="001D387F"/>
    <w:rsid w:val="001D4033"/>
    <w:rsid w:val="001E7DBB"/>
    <w:rsid w:val="0020301A"/>
    <w:rsid w:val="00203823"/>
    <w:rsid w:val="00203DA4"/>
    <w:rsid w:val="00206CA3"/>
    <w:rsid w:val="00211BFF"/>
    <w:rsid w:val="00211CB4"/>
    <w:rsid w:val="00224273"/>
    <w:rsid w:val="0022510B"/>
    <w:rsid w:val="00230389"/>
    <w:rsid w:val="0023077B"/>
    <w:rsid w:val="002429A8"/>
    <w:rsid w:val="00242D45"/>
    <w:rsid w:val="0024613D"/>
    <w:rsid w:val="002500A0"/>
    <w:rsid w:val="002516E8"/>
    <w:rsid w:val="002535CE"/>
    <w:rsid w:val="00255E8E"/>
    <w:rsid w:val="00260B17"/>
    <w:rsid w:val="00267D12"/>
    <w:rsid w:val="0027310D"/>
    <w:rsid w:val="002822DD"/>
    <w:rsid w:val="00290367"/>
    <w:rsid w:val="002915B9"/>
    <w:rsid w:val="00292283"/>
    <w:rsid w:val="002A188D"/>
    <w:rsid w:val="002A1FE2"/>
    <w:rsid w:val="002A2A8E"/>
    <w:rsid w:val="002A3B13"/>
    <w:rsid w:val="002A3F1E"/>
    <w:rsid w:val="002A796E"/>
    <w:rsid w:val="002A7B03"/>
    <w:rsid w:val="002B0BC6"/>
    <w:rsid w:val="002B2B42"/>
    <w:rsid w:val="002B3B63"/>
    <w:rsid w:val="002B5241"/>
    <w:rsid w:val="002B7842"/>
    <w:rsid w:val="002C2317"/>
    <w:rsid w:val="002C517C"/>
    <w:rsid w:val="002C7BDA"/>
    <w:rsid w:val="002D3C2F"/>
    <w:rsid w:val="002E1046"/>
    <w:rsid w:val="002E11EF"/>
    <w:rsid w:val="002F111B"/>
    <w:rsid w:val="002F14A7"/>
    <w:rsid w:val="002F1D2C"/>
    <w:rsid w:val="002F2AEB"/>
    <w:rsid w:val="002F479A"/>
    <w:rsid w:val="002F7966"/>
    <w:rsid w:val="00302B00"/>
    <w:rsid w:val="00303572"/>
    <w:rsid w:val="00305541"/>
    <w:rsid w:val="00305D47"/>
    <w:rsid w:val="00313F74"/>
    <w:rsid w:val="00314450"/>
    <w:rsid w:val="00315027"/>
    <w:rsid w:val="003158D7"/>
    <w:rsid w:val="0032090B"/>
    <w:rsid w:val="00324D23"/>
    <w:rsid w:val="00330185"/>
    <w:rsid w:val="00332D58"/>
    <w:rsid w:val="003345EC"/>
    <w:rsid w:val="00340032"/>
    <w:rsid w:val="00345025"/>
    <w:rsid w:val="00345050"/>
    <w:rsid w:val="003509A0"/>
    <w:rsid w:val="00351121"/>
    <w:rsid w:val="003532C6"/>
    <w:rsid w:val="00355A7A"/>
    <w:rsid w:val="003620C5"/>
    <w:rsid w:val="0036366B"/>
    <w:rsid w:val="00367A18"/>
    <w:rsid w:val="003728F0"/>
    <w:rsid w:val="00380FBD"/>
    <w:rsid w:val="00392309"/>
    <w:rsid w:val="00393E8F"/>
    <w:rsid w:val="003950C3"/>
    <w:rsid w:val="003A03C0"/>
    <w:rsid w:val="003A0D87"/>
    <w:rsid w:val="003A1027"/>
    <w:rsid w:val="003A128F"/>
    <w:rsid w:val="003A4ABF"/>
    <w:rsid w:val="003A6560"/>
    <w:rsid w:val="003B6DE1"/>
    <w:rsid w:val="003C2EAE"/>
    <w:rsid w:val="003C3171"/>
    <w:rsid w:val="003C67AE"/>
    <w:rsid w:val="003D0BBF"/>
    <w:rsid w:val="003D7625"/>
    <w:rsid w:val="003E0C2C"/>
    <w:rsid w:val="003E33E7"/>
    <w:rsid w:val="003E3D1D"/>
    <w:rsid w:val="003E7063"/>
    <w:rsid w:val="003F08B3"/>
    <w:rsid w:val="003F5C4F"/>
    <w:rsid w:val="003F6100"/>
    <w:rsid w:val="003F763B"/>
    <w:rsid w:val="00400971"/>
    <w:rsid w:val="00404727"/>
    <w:rsid w:val="004220DD"/>
    <w:rsid w:val="00422E46"/>
    <w:rsid w:val="00423666"/>
    <w:rsid w:val="00425478"/>
    <w:rsid w:val="00426DC7"/>
    <w:rsid w:val="00433599"/>
    <w:rsid w:val="0044510A"/>
    <w:rsid w:val="0044595E"/>
    <w:rsid w:val="00446962"/>
    <w:rsid w:val="00447D9D"/>
    <w:rsid w:val="00454AF2"/>
    <w:rsid w:val="00461DD5"/>
    <w:rsid w:val="00465A6C"/>
    <w:rsid w:val="00470902"/>
    <w:rsid w:val="00493AB8"/>
    <w:rsid w:val="004966C7"/>
    <w:rsid w:val="004A067B"/>
    <w:rsid w:val="004A560F"/>
    <w:rsid w:val="004A70A0"/>
    <w:rsid w:val="004B1A5B"/>
    <w:rsid w:val="004B2B55"/>
    <w:rsid w:val="004C1275"/>
    <w:rsid w:val="004C7D42"/>
    <w:rsid w:val="004F7020"/>
    <w:rsid w:val="00500281"/>
    <w:rsid w:val="0050188C"/>
    <w:rsid w:val="00503C44"/>
    <w:rsid w:val="00505437"/>
    <w:rsid w:val="00506553"/>
    <w:rsid w:val="005108EE"/>
    <w:rsid w:val="00511E1D"/>
    <w:rsid w:val="00512BD6"/>
    <w:rsid w:val="00512F68"/>
    <w:rsid w:val="00513166"/>
    <w:rsid w:val="005167DE"/>
    <w:rsid w:val="0052147B"/>
    <w:rsid w:val="005218C7"/>
    <w:rsid w:val="00534188"/>
    <w:rsid w:val="00534198"/>
    <w:rsid w:val="005353D2"/>
    <w:rsid w:val="00544C86"/>
    <w:rsid w:val="005477AB"/>
    <w:rsid w:val="00547ED4"/>
    <w:rsid w:val="005521C9"/>
    <w:rsid w:val="005538BF"/>
    <w:rsid w:val="005578E9"/>
    <w:rsid w:val="00560188"/>
    <w:rsid w:val="005639CC"/>
    <w:rsid w:val="00564DE6"/>
    <w:rsid w:val="005666D7"/>
    <w:rsid w:val="00567026"/>
    <w:rsid w:val="00570292"/>
    <w:rsid w:val="00573316"/>
    <w:rsid w:val="00575734"/>
    <w:rsid w:val="0058164E"/>
    <w:rsid w:val="00583FCB"/>
    <w:rsid w:val="00584F53"/>
    <w:rsid w:val="00590534"/>
    <w:rsid w:val="00591E74"/>
    <w:rsid w:val="005B211A"/>
    <w:rsid w:val="005B67E5"/>
    <w:rsid w:val="005C0D8A"/>
    <w:rsid w:val="005C4F4A"/>
    <w:rsid w:val="005D2B32"/>
    <w:rsid w:val="005D327E"/>
    <w:rsid w:val="005D5CA1"/>
    <w:rsid w:val="005E2A34"/>
    <w:rsid w:val="005F0458"/>
    <w:rsid w:val="005F551A"/>
    <w:rsid w:val="0060139C"/>
    <w:rsid w:val="00601A30"/>
    <w:rsid w:val="00601BA2"/>
    <w:rsid w:val="00611C5C"/>
    <w:rsid w:val="00613C60"/>
    <w:rsid w:val="00621A6C"/>
    <w:rsid w:val="006221AB"/>
    <w:rsid w:val="00630C61"/>
    <w:rsid w:val="00642276"/>
    <w:rsid w:val="00655042"/>
    <w:rsid w:val="00655EA9"/>
    <w:rsid w:val="006617B0"/>
    <w:rsid w:val="00667D9D"/>
    <w:rsid w:val="00682E6D"/>
    <w:rsid w:val="006A1ECC"/>
    <w:rsid w:val="006A2874"/>
    <w:rsid w:val="006A35C7"/>
    <w:rsid w:val="006A4E3F"/>
    <w:rsid w:val="006A57E3"/>
    <w:rsid w:val="006A77D3"/>
    <w:rsid w:val="006B1C38"/>
    <w:rsid w:val="006B3721"/>
    <w:rsid w:val="006B790B"/>
    <w:rsid w:val="006C02A0"/>
    <w:rsid w:val="006D4595"/>
    <w:rsid w:val="006D7262"/>
    <w:rsid w:val="006E1E1C"/>
    <w:rsid w:val="006E3523"/>
    <w:rsid w:val="006E3F97"/>
    <w:rsid w:val="006E4BC0"/>
    <w:rsid w:val="006E5437"/>
    <w:rsid w:val="006E7561"/>
    <w:rsid w:val="007012D7"/>
    <w:rsid w:val="0071183D"/>
    <w:rsid w:val="00722801"/>
    <w:rsid w:val="00723064"/>
    <w:rsid w:val="00725CDC"/>
    <w:rsid w:val="0072619F"/>
    <w:rsid w:val="00731F5F"/>
    <w:rsid w:val="00734145"/>
    <w:rsid w:val="00734688"/>
    <w:rsid w:val="007418B4"/>
    <w:rsid w:val="00742665"/>
    <w:rsid w:val="00742ABC"/>
    <w:rsid w:val="007452E8"/>
    <w:rsid w:val="007536AC"/>
    <w:rsid w:val="00754E1E"/>
    <w:rsid w:val="00757070"/>
    <w:rsid w:val="0076018B"/>
    <w:rsid w:val="00760955"/>
    <w:rsid w:val="00763690"/>
    <w:rsid w:val="007655D5"/>
    <w:rsid w:val="007734E3"/>
    <w:rsid w:val="00774DE9"/>
    <w:rsid w:val="00775CC8"/>
    <w:rsid w:val="00777831"/>
    <w:rsid w:val="0078308F"/>
    <w:rsid w:val="007856CA"/>
    <w:rsid w:val="00792FD8"/>
    <w:rsid w:val="0079371C"/>
    <w:rsid w:val="007A1A31"/>
    <w:rsid w:val="007A4561"/>
    <w:rsid w:val="007A46D5"/>
    <w:rsid w:val="007A6D72"/>
    <w:rsid w:val="007B6C4E"/>
    <w:rsid w:val="007C0620"/>
    <w:rsid w:val="007C1E25"/>
    <w:rsid w:val="007C36CA"/>
    <w:rsid w:val="007C7AF7"/>
    <w:rsid w:val="007D062A"/>
    <w:rsid w:val="007D3D52"/>
    <w:rsid w:val="007E0198"/>
    <w:rsid w:val="007E630F"/>
    <w:rsid w:val="007F44B1"/>
    <w:rsid w:val="007F598A"/>
    <w:rsid w:val="008010FA"/>
    <w:rsid w:val="00801D6E"/>
    <w:rsid w:val="00803B7C"/>
    <w:rsid w:val="00805AC2"/>
    <w:rsid w:val="00806146"/>
    <w:rsid w:val="00807201"/>
    <w:rsid w:val="008127C8"/>
    <w:rsid w:val="00821CCD"/>
    <w:rsid w:val="00824552"/>
    <w:rsid w:val="008260F2"/>
    <w:rsid w:val="00826318"/>
    <w:rsid w:val="0083217D"/>
    <w:rsid w:val="00846752"/>
    <w:rsid w:val="00851E76"/>
    <w:rsid w:val="00852CE3"/>
    <w:rsid w:val="00854B3F"/>
    <w:rsid w:val="008612C6"/>
    <w:rsid w:val="00866815"/>
    <w:rsid w:val="00867D6D"/>
    <w:rsid w:val="008728CE"/>
    <w:rsid w:val="008766E3"/>
    <w:rsid w:val="00881301"/>
    <w:rsid w:val="00883489"/>
    <w:rsid w:val="008836D3"/>
    <w:rsid w:val="00895144"/>
    <w:rsid w:val="008A74F5"/>
    <w:rsid w:val="008B0FB6"/>
    <w:rsid w:val="008C7405"/>
    <w:rsid w:val="008D0C3E"/>
    <w:rsid w:val="008D3346"/>
    <w:rsid w:val="008D6C5C"/>
    <w:rsid w:val="008E421C"/>
    <w:rsid w:val="008E7228"/>
    <w:rsid w:val="008F18CA"/>
    <w:rsid w:val="008F20C5"/>
    <w:rsid w:val="009046AC"/>
    <w:rsid w:val="009112AD"/>
    <w:rsid w:val="00914D25"/>
    <w:rsid w:val="0091771B"/>
    <w:rsid w:val="0092192F"/>
    <w:rsid w:val="00926805"/>
    <w:rsid w:val="0092786A"/>
    <w:rsid w:val="00931A95"/>
    <w:rsid w:val="00935167"/>
    <w:rsid w:val="009353BB"/>
    <w:rsid w:val="00950052"/>
    <w:rsid w:val="00950ED1"/>
    <w:rsid w:val="009534E0"/>
    <w:rsid w:val="00954554"/>
    <w:rsid w:val="00960054"/>
    <w:rsid w:val="00960F9D"/>
    <w:rsid w:val="009754E2"/>
    <w:rsid w:val="009823CF"/>
    <w:rsid w:val="009A2037"/>
    <w:rsid w:val="009B0722"/>
    <w:rsid w:val="009B2922"/>
    <w:rsid w:val="009C04FC"/>
    <w:rsid w:val="009C2FB2"/>
    <w:rsid w:val="009C6185"/>
    <w:rsid w:val="009C729D"/>
    <w:rsid w:val="009D2250"/>
    <w:rsid w:val="009D2492"/>
    <w:rsid w:val="009E15F0"/>
    <w:rsid w:val="009E296E"/>
    <w:rsid w:val="009E2A98"/>
    <w:rsid w:val="009F67E0"/>
    <w:rsid w:val="00A00838"/>
    <w:rsid w:val="00A01A24"/>
    <w:rsid w:val="00A03796"/>
    <w:rsid w:val="00A048B0"/>
    <w:rsid w:val="00A06BCE"/>
    <w:rsid w:val="00A11C06"/>
    <w:rsid w:val="00A129CE"/>
    <w:rsid w:val="00A13CB6"/>
    <w:rsid w:val="00A157C2"/>
    <w:rsid w:val="00A301D9"/>
    <w:rsid w:val="00A3205F"/>
    <w:rsid w:val="00A322FF"/>
    <w:rsid w:val="00A36AF8"/>
    <w:rsid w:val="00A37330"/>
    <w:rsid w:val="00A41DD3"/>
    <w:rsid w:val="00A44FA7"/>
    <w:rsid w:val="00A46AD1"/>
    <w:rsid w:val="00A502D6"/>
    <w:rsid w:val="00A52AE4"/>
    <w:rsid w:val="00A573FF"/>
    <w:rsid w:val="00A6413B"/>
    <w:rsid w:val="00A6448D"/>
    <w:rsid w:val="00A64956"/>
    <w:rsid w:val="00A65937"/>
    <w:rsid w:val="00A71DBE"/>
    <w:rsid w:val="00A87B8C"/>
    <w:rsid w:val="00A938C8"/>
    <w:rsid w:val="00A9651D"/>
    <w:rsid w:val="00AA0F0E"/>
    <w:rsid w:val="00AA50FE"/>
    <w:rsid w:val="00AA72E9"/>
    <w:rsid w:val="00AC0666"/>
    <w:rsid w:val="00AD2360"/>
    <w:rsid w:val="00AD2B6B"/>
    <w:rsid w:val="00AE2DE2"/>
    <w:rsid w:val="00AF2E84"/>
    <w:rsid w:val="00AF6C03"/>
    <w:rsid w:val="00AF6C1A"/>
    <w:rsid w:val="00B027BE"/>
    <w:rsid w:val="00B03DF0"/>
    <w:rsid w:val="00B11095"/>
    <w:rsid w:val="00B134BC"/>
    <w:rsid w:val="00B15AEE"/>
    <w:rsid w:val="00B235BC"/>
    <w:rsid w:val="00B24793"/>
    <w:rsid w:val="00B260EF"/>
    <w:rsid w:val="00B46112"/>
    <w:rsid w:val="00B624D7"/>
    <w:rsid w:val="00B63A0E"/>
    <w:rsid w:val="00B67A58"/>
    <w:rsid w:val="00B84EB2"/>
    <w:rsid w:val="00B93647"/>
    <w:rsid w:val="00B974D8"/>
    <w:rsid w:val="00BA0994"/>
    <w:rsid w:val="00BA52A7"/>
    <w:rsid w:val="00BA6C00"/>
    <w:rsid w:val="00BB738F"/>
    <w:rsid w:val="00BC2433"/>
    <w:rsid w:val="00BC5D89"/>
    <w:rsid w:val="00BD2CD2"/>
    <w:rsid w:val="00BD67CC"/>
    <w:rsid w:val="00BE0522"/>
    <w:rsid w:val="00BE144C"/>
    <w:rsid w:val="00BE1E49"/>
    <w:rsid w:val="00BE46F1"/>
    <w:rsid w:val="00BE6B75"/>
    <w:rsid w:val="00BF02AE"/>
    <w:rsid w:val="00BF3B91"/>
    <w:rsid w:val="00C02A82"/>
    <w:rsid w:val="00C06870"/>
    <w:rsid w:val="00C17150"/>
    <w:rsid w:val="00C204E8"/>
    <w:rsid w:val="00C229C8"/>
    <w:rsid w:val="00C22CFD"/>
    <w:rsid w:val="00C24DDB"/>
    <w:rsid w:val="00C255EF"/>
    <w:rsid w:val="00C43575"/>
    <w:rsid w:val="00C4366C"/>
    <w:rsid w:val="00C43717"/>
    <w:rsid w:val="00C44071"/>
    <w:rsid w:val="00C45E71"/>
    <w:rsid w:val="00C519FC"/>
    <w:rsid w:val="00C550D2"/>
    <w:rsid w:val="00C62D7E"/>
    <w:rsid w:val="00C66596"/>
    <w:rsid w:val="00C66F76"/>
    <w:rsid w:val="00C67439"/>
    <w:rsid w:val="00C71033"/>
    <w:rsid w:val="00C7172A"/>
    <w:rsid w:val="00C71E62"/>
    <w:rsid w:val="00C90A8D"/>
    <w:rsid w:val="00C93A7E"/>
    <w:rsid w:val="00C940FC"/>
    <w:rsid w:val="00C949DD"/>
    <w:rsid w:val="00CA7975"/>
    <w:rsid w:val="00CB0063"/>
    <w:rsid w:val="00CB75FD"/>
    <w:rsid w:val="00CB7BC8"/>
    <w:rsid w:val="00CC24EE"/>
    <w:rsid w:val="00CC345C"/>
    <w:rsid w:val="00CC5F09"/>
    <w:rsid w:val="00CD5559"/>
    <w:rsid w:val="00CE0DAE"/>
    <w:rsid w:val="00CE1C63"/>
    <w:rsid w:val="00CF24FC"/>
    <w:rsid w:val="00CF7454"/>
    <w:rsid w:val="00D014C6"/>
    <w:rsid w:val="00D031E4"/>
    <w:rsid w:val="00D0487C"/>
    <w:rsid w:val="00D0596E"/>
    <w:rsid w:val="00D05B04"/>
    <w:rsid w:val="00D062B2"/>
    <w:rsid w:val="00D11FE2"/>
    <w:rsid w:val="00D14337"/>
    <w:rsid w:val="00D2159F"/>
    <w:rsid w:val="00D23A29"/>
    <w:rsid w:val="00D26260"/>
    <w:rsid w:val="00D27C7A"/>
    <w:rsid w:val="00D324EF"/>
    <w:rsid w:val="00D35143"/>
    <w:rsid w:val="00D37A5F"/>
    <w:rsid w:val="00D501B9"/>
    <w:rsid w:val="00D51EED"/>
    <w:rsid w:val="00D52D2F"/>
    <w:rsid w:val="00D52E8F"/>
    <w:rsid w:val="00D54896"/>
    <w:rsid w:val="00D60096"/>
    <w:rsid w:val="00D6009B"/>
    <w:rsid w:val="00D61170"/>
    <w:rsid w:val="00D61CF8"/>
    <w:rsid w:val="00D6280F"/>
    <w:rsid w:val="00D64653"/>
    <w:rsid w:val="00D64A1C"/>
    <w:rsid w:val="00D6705D"/>
    <w:rsid w:val="00D7457D"/>
    <w:rsid w:val="00D8115B"/>
    <w:rsid w:val="00D8373F"/>
    <w:rsid w:val="00D84763"/>
    <w:rsid w:val="00D86F4E"/>
    <w:rsid w:val="00D94129"/>
    <w:rsid w:val="00D9738E"/>
    <w:rsid w:val="00DA0E38"/>
    <w:rsid w:val="00DB2400"/>
    <w:rsid w:val="00DC1B17"/>
    <w:rsid w:val="00DC4518"/>
    <w:rsid w:val="00DC7DED"/>
    <w:rsid w:val="00DD042D"/>
    <w:rsid w:val="00DD193D"/>
    <w:rsid w:val="00DD3B80"/>
    <w:rsid w:val="00DD3E27"/>
    <w:rsid w:val="00DD4283"/>
    <w:rsid w:val="00DD725B"/>
    <w:rsid w:val="00DF0B2A"/>
    <w:rsid w:val="00DF2C54"/>
    <w:rsid w:val="00DF3830"/>
    <w:rsid w:val="00E05A2F"/>
    <w:rsid w:val="00E073E1"/>
    <w:rsid w:val="00E123BE"/>
    <w:rsid w:val="00E12937"/>
    <w:rsid w:val="00E17B9C"/>
    <w:rsid w:val="00E21464"/>
    <w:rsid w:val="00E21902"/>
    <w:rsid w:val="00E2378A"/>
    <w:rsid w:val="00E26413"/>
    <w:rsid w:val="00E27783"/>
    <w:rsid w:val="00E30AD0"/>
    <w:rsid w:val="00E312FF"/>
    <w:rsid w:val="00E35DB8"/>
    <w:rsid w:val="00E405DC"/>
    <w:rsid w:val="00E40941"/>
    <w:rsid w:val="00E42670"/>
    <w:rsid w:val="00E45CC2"/>
    <w:rsid w:val="00E54DC4"/>
    <w:rsid w:val="00E54EFB"/>
    <w:rsid w:val="00E57FCD"/>
    <w:rsid w:val="00E60C2D"/>
    <w:rsid w:val="00E63C8F"/>
    <w:rsid w:val="00E70CC5"/>
    <w:rsid w:val="00E72256"/>
    <w:rsid w:val="00E72B1F"/>
    <w:rsid w:val="00E731B6"/>
    <w:rsid w:val="00E8099B"/>
    <w:rsid w:val="00E82B08"/>
    <w:rsid w:val="00E85AE2"/>
    <w:rsid w:val="00E87CB1"/>
    <w:rsid w:val="00E915C4"/>
    <w:rsid w:val="00EA1306"/>
    <w:rsid w:val="00EB3354"/>
    <w:rsid w:val="00EB392E"/>
    <w:rsid w:val="00EC3F7A"/>
    <w:rsid w:val="00EC5BA9"/>
    <w:rsid w:val="00ED3D0D"/>
    <w:rsid w:val="00ED4565"/>
    <w:rsid w:val="00EE15DC"/>
    <w:rsid w:val="00EE4533"/>
    <w:rsid w:val="00EE74B0"/>
    <w:rsid w:val="00EF30B2"/>
    <w:rsid w:val="00F02B2A"/>
    <w:rsid w:val="00F035EF"/>
    <w:rsid w:val="00F041BB"/>
    <w:rsid w:val="00F05357"/>
    <w:rsid w:val="00F11010"/>
    <w:rsid w:val="00F15BAE"/>
    <w:rsid w:val="00F15E86"/>
    <w:rsid w:val="00F25BB2"/>
    <w:rsid w:val="00F26594"/>
    <w:rsid w:val="00F32121"/>
    <w:rsid w:val="00F3230A"/>
    <w:rsid w:val="00F331ED"/>
    <w:rsid w:val="00F411BA"/>
    <w:rsid w:val="00F43068"/>
    <w:rsid w:val="00F445C3"/>
    <w:rsid w:val="00F45032"/>
    <w:rsid w:val="00F46801"/>
    <w:rsid w:val="00F4776D"/>
    <w:rsid w:val="00F52FBE"/>
    <w:rsid w:val="00F54FFE"/>
    <w:rsid w:val="00F60938"/>
    <w:rsid w:val="00F60C93"/>
    <w:rsid w:val="00F65ED3"/>
    <w:rsid w:val="00F747AF"/>
    <w:rsid w:val="00F75517"/>
    <w:rsid w:val="00F813E0"/>
    <w:rsid w:val="00F81B5E"/>
    <w:rsid w:val="00F82694"/>
    <w:rsid w:val="00F85B91"/>
    <w:rsid w:val="00F93FD8"/>
    <w:rsid w:val="00F96E79"/>
    <w:rsid w:val="00FA0D04"/>
    <w:rsid w:val="00FA1EDD"/>
    <w:rsid w:val="00FA78E7"/>
    <w:rsid w:val="00FB3766"/>
    <w:rsid w:val="00FB76EB"/>
    <w:rsid w:val="00FB7F64"/>
    <w:rsid w:val="00FD6AEB"/>
    <w:rsid w:val="00FE26E9"/>
    <w:rsid w:val="00FE2CF6"/>
    <w:rsid w:val="00FE68FA"/>
    <w:rsid w:val="00FE7C57"/>
    <w:rsid w:val="00FF192F"/>
    <w:rsid w:val="00FF609E"/>
    <w:rsid w:val="01566F9A"/>
    <w:rsid w:val="04630803"/>
    <w:rsid w:val="0A0324CC"/>
    <w:rsid w:val="0BA37CB5"/>
    <w:rsid w:val="0D1B76C4"/>
    <w:rsid w:val="0D1E04F9"/>
    <w:rsid w:val="11F90012"/>
    <w:rsid w:val="15FF1D18"/>
    <w:rsid w:val="185F2232"/>
    <w:rsid w:val="19836E98"/>
    <w:rsid w:val="19EB769C"/>
    <w:rsid w:val="1A4B07D3"/>
    <w:rsid w:val="1B53375C"/>
    <w:rsid w:val="1B5E6E56"/>
    <w:rsid w:val="1D5DD8AC"/>
    <w:rsid w:val="1FCC014D"/>
    <w:rsid w:val="23B811BB"/>
    <w:rsid w:val="28A577E8"/>
    <w:rsid w:val="2A16221E"/>
    <w:rsid w:val="2ACF6959"/>
    <w:rsid w:val="2DCE0B9C"/>
    <w:rsid w:val="313B5C14"/>
    <w:rsid w:val="353F6576"/>
    <w:rsid w:val="364A0E9F"/>
    <w:rsid w:val="36CB5C69"/>
    <w:rsid w:val="36E5FA00"/>
    <w:rsid w:val="381B3304"/>
    <w:rsid w:val="3F1EF0A6"/>
    <w:rsid w:val="3F7B502D"/>
    <w:rsid w:val="409B32BC"/>
    <w:rsid w:val="437C22A7"/>
    <w:rsid w:val="4553599D"/>
    <w:rsid w:val="464E4BCB"/>
    <w:rsid w:val="474925BE"/>
    <w:rsid w:val="49420FDA"/>
    <w:rsid w:val="4AD45B76"/>
    <w:rsid w:val="4CAE3BE7"/>
    <w:rsid w:val="4F355FEC"/>
    <w:rsid w:val="4FBB94BE"/>
    <w:rsid w:val="51290287"/>
    <w:rsid w:val="54220F4E"/>
    <w:rsid w:val="554B1F88"/>
    <w:rsid w:val="5AD003E5"/>
    <w:rsid w:val="5C186EDA"/>
    <w:rsid w:val="5CF757C6"/>
    <w:rsid w:val="5E7D1A84"/>
    <w:rsid w:val="5EEC5A24"/>
    <w:rsid w:val="61414CF8"/>
    <w:rsid w:val="6226173E"/>
    <w:rsid w:val="62CD0C45"/>
    <w:rsid w:val="65A919FB"/>
    <w:rsid w:val="66595F0A"/>
    <w:rsid w:val="68E5638C"/>
    <w:rsid w:val="6B5F349D"/>
    <w:rsid w:val="6B76724F"/>
    <w:rsid w:val="6C0F2264"/>
    <w:rsid w:val="6CA914B7"/>
    <w:rsid w:val="6DE57A9E"/>
    <w:rsid w:val="6FBE8E0E"/>
    <w:rsid w:val="6FCE0F0F"/>
    <w:rsid w:val="707059CE"/>
    <w:rsid w:val="724735F0"/>
    <w:rsid w:val="7AE1747A"/>
    <w:rsid w:val="7AFD9D5D"/>
    <w:rsid w:val="7BDFBF99"/>
    <w:rsid w:val="7BF5B27C"/>
    <w:rsid w:val="7CA05BF8"/>
    <w:rsid w:val="7D3E2845"/>
    <w:rsid w:val="7ED7759C"/>
    <w:rsid w:val="7FB8D1A4"/>
    <w:rsid w:val="ABA5BA62"/>
    <w:rsid w:val="BBDEA691"/>
    <w:rsid w:val="BEBA18EE"/>
    <w:rsid w:val="BFF7ED62"/>
    <w:rsid w:val="DF5F9F4E"/>
    <w:rsid w:val="E75D9BB8"/>
    <w:rsid w:val="EBB55CD6"/>
    <w:rsid w:val="F7EB3924"/>
    <w:rsid w:val="F7F7B655"/>
    <w:rsid w:val="F8FF2C85"/>
    <w:rsid w:val="FB7FED88"/>
    <w:rsid w:val="FEFFFE9B"/>
    <w:rsid w:val="FF47E82C"/>
    <w:rsid w:val="FF7549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99"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9"/>
    <w:pPr>
      <w:adjustRightInd/>
      <w:spacing w:line="360" w:lineRule="auto"/>
      <w:jc w:val="center"/>
      <w:outlineLvl w:val="0"/>
    </w:pPr>
    <w:rPr>
      <w:rFonts w:ascii="仿宋" w:hAnsi="仿宋" w:eastAsia="仿宋" w:cs="仿宋_GB2312"/>
      <w:b/>
      <w:color w:val="000000"/>
      <w:sz w:val="36"/>
      <w:szCs w:val="36"/>
    </w:rPr>
  </w:style>
  <w:style w:type="paragraph" w:styleId="2">
    <w:name w:val="heading 2"/>
    <w:basedOn w:val="1"/>
    <w:next w:val="1"/>
    <w:link w:val="55"/>
    <w:qFormat/>
    <w:uiPriority w:val="9"/>
    <w:pPr>
      <w:keepNext/>
      <w:keepLines/>
      <w:numPr>
        <w:ilvl w:val="0"/>
        <w:numId w:val="1"/>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link w:val="53"/>
    <w:qFormat/>
    <w:uiPriority w:val="9"/>
    <w:pPr>
      <w:keepNext/>
      <w:keepLines/>
      <w:numPr>
        <w:ilvl w:val="2"/>
        <w:numId w:val="2"/>
      </w:numPr>
      <w:spacing w:before="260" w:after="260" w:line="416" w:lineRule="auto"/>
      <w:outlineLvl w:val="2"/>
    </w:pPr>
    <w:rPr>
      <w:b/>
      <w:bCs/>
      <w:sz w:val="32"/>
      <w:szCs w:val="32"/>
    </w:rPr>
  </w:style>
  <w:style w:type="paragraph" w:styleId="5">
    <w:name w:val="heading 4"/>
    <w:basedOn w:val="1"/>
    <w:next w:val="1"/>
    <w:link w:val="57"/>
    <w:unhideWhenUsed/>
    <w:qFormat/>
    <w:uiPriority w:val="9"/>
    <w:pPr>
      <w:widowControl/>
      <w:adjustRightInd/>
      <w:spacing w:line="271" w:lineRule="auto"/>
      <w:jc w:val="left"/>
      <w:outlineLvl w:val="3"/>
    </w:pPr>
    <w:rPr>
      <w:rFonts w:ascii="仿宋" w:hAnsi="仿宋" w:eastAsia="仿宋" w:cstheme="majorBidi"/>
      <w:b/>
      <w:bCs/>
      <w:spacing w:val="5"/>
      <w:kern w:val="0"/>
      <w:sz w:val="24"/>
    </w:rPr>
  </w:style>
  <w:style w:type="paragraph" w:styleId="6">
    <w:name w:val="heading 5"/>
    <w:basedOn w:val="1"/>
    <w:next w:val="1"/>
    <w:link w:val="58"/>
    <w:semiHidden/>
    <w:unhideWhenUsed/>
    <w:qFormat/>
    <w:uiPriority w:val="9"/>
    <w:pPr>
      <w:widowControl/>
      <w:adjustRightInd/>
      <w:spacing w:line="271" w:lineRule="auto"/>
      <w:jc w:val="left"/>
      <w:outlineLvl w:val="4"/>
    </w:pPr>
    <w:rPr>
      <w:rFonts w:ascii="仿宋" w:hAnsi="仿宋" w:eastAsia="仿宋" w:cstheme="majorBidi"/>
      <w:i/>
      <w:iCs/>
      <w:kern w:val="0"/>
      <w:sz w:val="24"/>
    </w:rPr>
  </w:style>
  <w:style w:type="paragraph" w:styleId="7">
    <w:name w:val="heading 6"/>
    <w:basedOn w:val="1"/>
    <w:next w:val="1"/>
    <w:link w:val="59"/>
    <w:semiHidden/>
    <w:unhideWhenUsed/>
    <w:qFormat/>
    <w:uiPriority w:val="9"/>
    <w:pPr>
      <w:widowControl/>
      <w:shd w:val="clear" w:color="auto" w:fill="FFFFFF" w:themeFill="background1"/>
      <w:adjustRightInd/>
      <w:spacing w:line="271" w:lineRule="auto"/>
      <w:jc w:val="left"/>
      <w:outlineLvl w:val="5"/>
    </w:pPr>
    <w:rPr>
      <w:rFonts w:ascii="仿宋" w:hAnsi="仿宋" w:eastAsia="仿宋" w:cstheme="majorBidi"/>
      <w:b/>
      <w:bCs/>
      <w:color w:val="595959" w:themeColor="text1" w:themeTint="A6"/>
      <w:spacing w:val="5"/>
      <w:kern w:val="0"/>
      <w:sz w:val="24"/>
      <w14:textFill>
        <w14:solidFill>
          <w14:schemeClr w14:val="tx1">
            <w14:lumMod w14:val="65000"/>
            <w14:lumOff w14:val="35000"/>
          </w14:schemeClr>
        </w14:solidFill>
      </w14:textFill>
    </w:rPr>
  </w:style>
  <w:style w:type="paragraph" w:styleId="8">
    <w:name w:val="heading 7"/>
    <w:basedOn w:val="1"/>
    <w:next w:val="1"/>
    <w:link w:val="60"/>
    <w:semiHidden/>
    <w:unhideWhenUsed/>
    <w:qFormat/>
    <w:uiPriority w:val="9"/>
    <w:pPr>
      <w:widowControl/>
      <w:adjustRightInd/>
      <w:jc w:val="left"/>
      <w:outlineLvl w:val="6"/>
    </w:pPr>
    <w:rPr>
      <w:rFonts w:ascii="仿宋" w:hAnsi="仿宋" w:eastAsia="仿宋" w:cstheme="majorBidi"/>
      <w:b/>
      <w:bCs/>
      <w:i/>
      <w:iCs/>
      <w:color w:val="595959" w:themeColor="text1" w:themeTint="A6"/>
      <w:kern w:val="0"/>
      <w:sz w:val="20"/>
      <w:szCs w:val="20"/>
      <w14:textFill>
        <w14:solidFill>
          <w14:schemeClr w14:val="tx1">
            <w14:lumMod w14:val="65000"/>
            <w14:lumOff w14:val="35000"/>
          </w14:schemeClr>
        </w14:solidFill>
      </w14:textFill>
    </w:rPr>
  </w:style>
  <w:style w:type="paragraph" w:styleId="9">
    <w:name w:val="heading 8"/>
    <w:basedOn w:val="1"/>
    <w:next w:val="1"/>
    <w:link w:val="61"/>
    <w:semiHidden/>
    <w:unhideWhenUsed/>
    <w:qFormat/>
    <w:uiPriority w:val="9"/>
    <w:pPr>
      <w:widowControl/>
      <w:adjustRightInd/>
      <w:jc w:val="left"/>
      <w:outlineLvl w:val="7"/>
    </w:pPr>
    <w:rPr>
      <w:rFonts w:ascii="仿宋" w:hAnsi="仿宋" w:eastAsia="仿宋" w:cstheme="majorBidi"/>
      <w:b/>
      <w:bCs/>
      <w:color w:val="808080" w:themeColor="text1" w:themeTint="80"/>
      <w:kern w:val="0"/>
      <w:sz w:val="20"/>
      <w:szCs w:val="20"/>
      <w14:textFill>
        <w14:solidFill>
          <w14:schemeClr w14:val="tx1">
            <w14:lumMod w14:val="50000"/>
            <w14:lumOff w14:val="50000"/>
          </w14:schemeClr>
        </w14:solidFill>
      </w14:textFill>
    </w:rPr>
  </w:style>
  <w:style w:type="paragraph" w:styleId="10">
    <w:name w:val="heading 9"/>
    <w:basedOn w:val="1"/>
    <w:next w:val="1"/>
    <w:link w:val="62"/>
    <w:semiHidden/>
    <w:unhideWhenUsed/>
    <w:qFormat/>
    <w:uiPriority w:val="9"/>
    <w:pPr>
      <w:widowControl/>
      <w:adjustRightInd/>
      <w:spacing w:line="271" w:lineRule="auto"/>
      <w:jc w:val="left"/>
      <w:outlineLvl w:val="8"/>
    </w:pPr>
    <w:rPr>
      <w:rFonts w:ascii="仿宋" w:hAnsi="仿宋" w:eastAsia="仿宋" w:cstheme="majorBidi"/>
      <w:b/>
      <w:bCs/>
      <w:i/>
      <w:iCs/>
      <w:color w:val="808080" w:themeColor="text1" w:themeTint="80"/>
      <w:kern w:val="0"/>
      <w:sz w:val="18"/>
      <w:szCs w:val="18"/>
      <w14:textFill>
        <w14:solidFill>
          <w14:schemeClr w14:val="tx1">
            <w14:lumMod w14:val="50000"/>
            <w14:lumOff w14:val="50000"/>
          </w14:schemeClr>
        </w14:solidFill>
      </w14:textFill>
    </w:rPr>
  </w:style>
  <w:style w:type="character" w:default="1" w:styleId="28">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51"/>
    <w:qFormat/>
    <w:uiPriority w:val="0"/>
    <w:pPr>
      <w:widowControl/>
      <w:snapToGrid w:val="0"/>
      <w:spacing w:line="480" w:lineRule="exact"/>
      <w:ind w:firstLine="567"/>
    </w:pPr>
    <w:rPr>
      <w:rFonts w:ascii="宋体"/>
      <w:snapToGrid w:val="0"/>
      <w:color w:val="000000"/>
      <w:kern w:val="28"/>
      <w:sz w:val="28"/>
      <w:szCs w:val="20"/>
    </w:rPr>
  </w:style>
  <w:style w:type="paragraph" w:styleId="12">
    <w:name w:val="caption"/>
    <w:basedOn w:val="1"/>
    <w:next w:val="1"/>
    <w:semiHidden/>
    <w:unhideWhenUsed/>
    <w:qFormat/>
    <w:uiPriority w:val="35"/>
    <w:pPr>
      <w:widowControl/>
      <w:adjustRightInd/>
      <w:spacing w:after="200"/>
      <w:jc w:val="left"/>
    </w:pPr>
    <w:rPr>
      <w:rFonts w:ascii="仿宋" w:hAnsi="仿宋" w:eastAsia="仿宋" w:cstheme="majorBidi"/>
      <w:b/>
      <w:bCs/>
      <w:caps/>
      <w:kern w:val="0"/>
      <w:sz w:val="16"/>
      <w:szCs w:val="18"/>
    </w:rPr>
  </w:style>
  <w:style w:type="paragraph" w:styleId="13">
    <w:name w:val="annotation text"/>
    <w:basedOn w:val="1"/>
    <w:link w:val="46"/>
    <w:qFormat/>
    <w:uiPriority w:val="0"/>
    <w:pPr>
      <w:jc w:val="left"/>
    </w:pPr>
  </w:style>
  <w:style w:type="paragraph" w:styleId="14">
    <w:name w:val="Body Text"/>
    <w:basedOn w:val="1"/>
    <w:next w:val="1"/>
    <w:link w:val="54"/>
    <w:qFormat/>
    <w:uiPriority w:val="0"/>
    <w:pPr>
      <w:autoSpaceDE w:val="0"/>
      <w:autoSpaceDN w:val="0"/>
      <w:spacing w:line="360" w:lineRule="auto"/>
    </w:pPr>
    <w:rPr>
      <w:rFonts w:ascii="宋体"/>
      <w:sz w:val="24"/>
      <w:szCs w:val="21"/>
      <w:lang w:val="zh-CN"/>
    </w:rPr>
  </w:style>
  <w:style w:type="paragraph" w:styleId="15">
    <w:name w:val="Body Text Indent"/>
    <w:basedOn w:val="1"/>
    <w:link w:val="52"/>
    <w:qFormat/>
    <w:uiPriority w:val="0"/>
    <w:pPr>
      <w:spacing w:line="480" w:lineRule="exact"/>
      <w:ind w:firstLine="480" w:firstLineChars="200"/>
    </w:pPr>
    <w:rPr>
      <w:rFonts w:ascii="宋体" w:hAnsi="宋体"/>
      <w:sz w:val="24"/>
    </w:rPr>
  </w:style>
  <w:style w:type="paragraph" w:styleId="16">
    <w:name w:val="Plain Text"/>
    <w:basedOn w:val="1"/>
    <w:link w:val="45"/>
    <w:qFormat/>
    <w:uiPriority w:val="0"/>
    <w:rPr>
      <w:rFonts w:ascii="宋体" w:hAnsi="Courier New"/>
      <w:szCs w:val="20"/>
    </w:rPr>
  </w:style>
  <w:style w:type="paragraph" w:styleId="17">
    <w:name w:val="Balloon Text"/>
    <w:basedOn w:val="1"/>
    <w:link w:val="89"/>
    <w:unhideWhenUsed/>
    <w:qFormat/>
    <w:uiPriority w:val="99"/>
    <w:pPr>
      <w:widowControl/>
      <w:adjustRightInd/>
      <w:jc w:val="left"/>
    </w:pPr>
    <w:rPr>
      <w:rFonts w:ascii="仿宋" w:hAnsi="仿宋" w:eastAsia="仿宋" w:cstheme="majorBidi"/>
      <w:kern w:val="0"/>
      <w:sz w:val="18"/>
      <w:szCs w:val="18"/>
    </w:rPr>
  </w:style>
  <w:style w:type="paragraph" w:styleId="18">
    <w:name w:val="footer"/>
    <w:basedOn w:val="1"/>
    <w:link w:val="42"/>
    <w:qFormat/>
    <w:uiPriority w:val="99"/>
    <w:pPr>
      <w:tabs>
        <w:tab w:val="center" w:pos="4153"/>
        <w:tab w:val="right" w:pos="8306"/>
      </w:tabs>
      <w:snapToGrid w:val="0"/>
      <w:jc w:val="left"/>
    </w:pPr>
    <w:rPr>
      <w:sz w:val="18"/>
      <w:szCs w:val="18"/>
    </w:rPr>
  </w:style>
  <w:style w:type="paragraph" w:styleId="19">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Subtitle"/>
    <w:basedOn w:val="1"/>
    <w:next w:val="1"/>
    <w:link w:val="65"/>
    <w:qFormat/>
    <w:uiPriority w:val="11"/>
    <w:pPr>
      <w:widowControl/>
      <w:adjustRightInd/>
      <w:spacing w:after="200"/>
      <w:jc w:val="left"/>
    </w:pPr>
    <w:rPr>
      <w:rFonts w:ascii="仿宋" w:hAnsi="仿宋" w:eastAsia="仿宋" w:cstheme="majorBidi"/>
      <w:i/>
      <w:iCs/>
      <w:smallCaps/>
      <w:spacing w:val="10"/>
      <w:kern w:val="0"/>
      <w:sz w:val="28"/>
      <w:szCs w:val="28"/>
    </w:r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Title"/>
    <w:basedOn w:val="1"/>
    <w:link w:val="64"/>
    <w:qFormat/>
    <w:uiPriority w:val="10"/>
    <w:pPr>
      <w:widowControl/>
      <w:overflowPunct w:val="0"/>
      <w:autoSpaceDE w:val="0"/>
      <w:autoSpaceDN w:val="0"/>
      <w:jc w:val="center"/>
      <w:textAlignment w:val="baseline"/>
    </w:pPr>
    <w:rPr>
      <w:b/>
      <w:kern w:val="0"/>
      <w:sz w:val="24"/>
      <w:szCs w:val="20"/>
      <w:lang w:val="en-GB"/>
    </w:rPr>
  </w:style>
  <w:style w:type="paragraph" w:styleId="24">
    <w:name w:val="annotation subject"/>
    <w:basedOn w:val="13"/>
    <w:next w:val="13"/>
    <w:link w:val="47"/>
    <w:qFormat/>
    <w:uiPriority w:val="0"/>
    <w:rPr>
      <w:b/>
      <w:bCs/>
    </w:rPr>
  </w:style>
  <w:style w:type="table" w:styleId="26">
    <w:name w:val="Table Grid"/>
    <w:basedOn w:val="2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7">
    <w:name w:val="Table Theme"/>
    <w:basedOn w:val="25"/>
    <w:qFormat/>
    <w:uiPriority w:val="0"/>
    <w:pPr>
      <w:widowControl w:val="0"/>
      <w:jc w:val="both"/>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jc w:val="center"/>
    </w:trPr>
    <w:tcPr>
      <w:vAlign w:val="center"/>
    </w:tcPr>
  </w:style>
  <w:style w:type="character" w:styleId="29">
    <w:name w:val="Strong"/>
    <w:qFormat/>
    <w:uiPriority w:val="22"/>
    <w:rPr>
      <w:b/>
      <w:bCs/>
    </w:rPr>
  </w:style>
  <w:style w:type="character" w:styleId="30">
    <w:name w:val="page number"/>
    <w:basedOn w:val="28"/>
    <w:qFormat/>
    <w:uiPriority w:val="0"/>
    <w:rPr>
      <w:rFonts w:ascii="Arial" w:hAnsi="Arial" w:eastAsia="黑体" w:cs="Arial"/>
      <w:snapToGrid w:val="0"/>
      <w:kern w:val="0"/>
      <w:szCs w:val="21"/>
    </w:rPr>
  </w:style>
  <w:style w:type="character" w:styleId="31">
    <w:name w:val="Emphasis"/>
    <w:qFormat/>
    <w:uiPriority w:val="20"/>
    <w:rPr>
      <w:b/>
      <w:bCs/>
      <w:i/>
      <w:iCs/>
      <w:spacing w:val="10"/>
    </w:rPr>
  </w:style>
  <w:style w:type="character" w:styleId="32">
    <w:name w:val="Hyperlink"/>
    <w:qFormat/>
    <w:uiPriority w:val="99"/>
    <w:rPr>
      <w:rFonts w:ascii="Arial" w:hAnsi="Arial" w:eastAsia="黑体" w:cs="Arial"/>
      <w:snapToGrid w:val="0"/>
      <w:color w:val="000000"/>
      <w:kern w:val="0"/>
      <w:sz w:val="18"/>
      <w:szCs w:val="18"/>
      <w:u w:val="none"/>
    </w:rPr>
  </w:style>
  <w:style w:type="character" w:styleId="33">
    <w:name w:val="annotation reference"/>
    <w:basedOn w:val="28"/>
    <w:qFormat/>
    <w:uiPriority w:val="0"/>
    <w:rPr>
      <w:sz w:val="21"/>
      <w:szCs w:val="21"/>
    </w:rPr>
  </w:style>
  <w:style w:type="paragraph" w:styleId="34">
    <w:name w:val="List Paragraph"/>
    <w:basedOn w:val="1"/>
    <w:qFormat/>
    <w:uiPriority w:val="34"/>
    <w:pPr>
      <w:spacing w:line="360" w:lineRule="auto"/>
      <w:ind w:firstLine="200" w:firstLineChars="200"/>
    </w:pPr>
    <w:rPr>
      <w:rFonts w:eastAsia="楷体_GB2312" w:cs="Lucida Sans"/>
      <w:sz w:val="24"/>
    </w:rPr>
  </w:style>
  <w:style w:type="paragraph" w:customStyle="1" w:styleId="3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36">
    <w:name w:val="正文2"/>
    <w:basedOn w:val="1"/>
    <w:link w:val="50"/>
    <w:qFormat/>
    <w:uiPriority w:val="0"/>
    <w:pPr>
      <w:spacing w:before="156" w:line="360" w:lineRule="auto"/>
      <w:ind w:firstLine="510" w:firstLineChars="200"/>
    </w:pPr>
    <w:rPr>
      <w:sz w:val="24"/>
      <w:szCs w:val="20"/>
    </w:rPr>
  </w:style>
  <w:style w:type="paragraph" w:customStyle="1" w:styleId="3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
    <w:name w:val="纯文本_0_0"/>
    <w:basedOn w:val="39"/>
    <w:link w:val="88"/>
    <w:qFormat/>
    <w:uiPriority w:val="0"/>
    <w:rPr>
      <w:rFonts w:ascii="宋体" w:hAnsi="Courier New"/>
      <w:szCs w:val="21"/>
    </w:rPr>
  </w:style>
  <w:style w:type="paragraph" w:customStyle="1" w:styleId="3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41">
    <w:name w:val="样式5"/>
    <w:basedOn w:val="1"/>
    <w:qFormat/>
    <w:uiPriority w:val="0"/>
    <w:pPr>
      <w:spacing w:line="440" w:lineRule="exact"/>
      <w:ind w:left="2" w:firstLine="480" w:firstLineChars="200"/>
    </w:pPr>
    <w:rPr>
      <w:rFonts w:ascii="仿宋_GB2312" w:hAnsi="仿宋" w:eastAsia="仿宋_GB2312"/>
      <w:sz w:val="24"/>
    </w:rPr>
  </w:style>
  <w:style w:type="character" w:customStyle="1" w:styleId="42">
    <w:name w:val="页脚 Char"/>
    <w:basedOn w:val="28"/>
    <w:link w:val="18"/>
    <w:qFormat/>
    <w:uiPriority w:val="99"/>
    <w:rPr>
      <w:kern w:val="2"/>
      <w:sz w:val="18"/>
      <w:szCs w:val="18"/>
    </w:rPr>
  </w:style>
  <w:style w:type="character" w:customStyle="1" w:styleId="43">
    <w:name w:val="页眉 Char"/>
    <w:basedOn w:val="28"/>
    <w:link w:val="19"/>
    <w:qFormat/>
    <w:uiPriority w:val="99"/>
    <w:rPr>
      <w:kern w:val="2"/>
      <w:sz w:val="18"/>
      <w:szCs w:val="18"/>
    </w:rPr>
  </w:style>
  <w:style w:type="character" w:customStyle="1" w:styleId="44">
    <w:name w:val="未处理的提及1"/>
    <w:basedOn w:val="28"/>
    <w:semiHidden/>
    <w:unhideWhenUsed/>
    <w:qFormat/>
    <w:uiPriority w:val="99"/>
    <w:rPr>
      <w:color w:val="605E5C"/>
      <w:shd w:val="clear" w:color="auto" w:fill="E1DFDD"/>
    </w:rPr>
  </w:style>
  <w:style w:type="character" w:customStyle="1" w:styleId="45">
    <w:name w:val="纯文本 Char"/>
    <w:basedOn w:val="28"/>
    <w:link w:val="16"/>
    <w:qFormat/>
    <w:uiPriority w:val="0"/>
    <w:rPr>
      <w:rFonts w:ascii="宋体" w:hAnsi="Courier New"/>
      <w:kern w:val="2"/>
      <w:sz w:val="21"/>
    </w:rPr>
  </w:style>
  <w:style w:type="character" w:customStyle="1" w:styleId="46">
    <w:name w:val="批注文字 Char"/>
    <w:basedOn w:val="28"/>
    <w:link w:val="13"/>
    <w:qFormat/>
    <w:uiPriority w:val="0"/>
    <w:rPr>
      <w:kern w:val="2"/>
      <w:sz w:val="21"/>
      <w:szCs w:val="24"/>
    </w:rPr>
  </w:style>
  <w:style w:type="character" w:customStyle="1" w:styleId="47">
    <w:name w:val="批注主题 Char"/>
    <w:basedOn w:val="46"/>
    <w:link w:val="24"/>
    <w:qFormat/>
    <w:uiPriority w:val="0"/>
    <w:rPr>
      <w:b/>
      <w:bCs/>
      <w:kern w:val="2"/>
      <w:sz w:val="21"/>
      <w:szCs w:val="24"/>
    </w:rPr>
  </w:style>
  <w:style w:type="paragraph" w:customStyle="1" w:styleId="4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9">
    <w:name w:val="纯文本 字符1"/>
    <w:qFormat/>
    <w:uiPriority w:val="0"/>
    <w:rPr>
      <w:rFonts w:ascii="宋体" w:hAnsi="Courier New" w:eastAsia="宋体" w:cs="Arial"/>
      <w:snapToGrid w:val="0"/>
      <w:kern w:val="2"/>
      <w:sz w:val="21"/>
      <w:szCs w:val="21"/>
      <w:lang w:val="en-US" w:eastAsia="zh-CN" w:bidi="ar-SA"/>
    </w:rPr>
  </w:style>
  <w:style w:type="character" w:customStyle="1" w:styleId="50">
    <w:name w:val="正文2 Char Char"/>
    <w:link w:val="36"/>
    <w:qFormat/>
    <w:uiPriority w:val="0"/>
    <w:rPr>
      <w:kern w:val="2"/>
      <w:sz w:val="24"/>
    </w:rPr>
  </w:style>
  <w:style w:type="character" w:customStyle="1" w:styleId="51">
    <w:name w:val="正文缩进 Char"/>
    <w:link w:val="11"/>
    <w:qFormat/>
    <w:uiPriority w:val="0"/>
    <w:rPr>
      <w:rFonts w:ascii="宋体"/>
      <w:snapToGrid w:val="0"/>
      <w:color w:val="000000"/>
      <w:kern w:val="28"/>
      <w:sz w:val="28"/>
    </w:rPr>
  </w:style>
  <w:style w:type="character" w:customStyle="1" w:styleId="52">
    <w:name w:val="正文文本缩进 Char1"/>
    <w:link w:val="15"/>
    <w:qFormat/>
    <w:uiPriority w:val="0"/>
    <w:rPr>
      <w:rFonts w:ascii="宋体" w:hAnsi="宋体"/>
      <w:kern w:val="2"/>
      <w:sz w:val="24"/>
      <w:szCs w:val="24"/>
    </w:rPr>
  </w:style>
  <w:style w:type="character" w:customStyle="1" w:styleId="53">
    <w:name w:val="标题 3 Char"/>
    <w:basedOn w:val="28"/>
    <w:link w:val="4"/>
    <w:qFormat/>
    <w:uiPriority w:val="9"/>
    <w:rPr>
      <w:b/>
      <w:bCs/>
      <w:kern w:val="2"/>
      <w:sz w:val="32"/>
      <w:szCs w:val="32"/>
    </w:rPr>
  </w:style>
  <w:style w:type="character" w:customStyle="1" w:styleId="54">
    <w:name w:val="正文文本 Char"/>
    <w:basedOn w:val="28"/>
    <w:link w:val="14"/>
    <w:qFormat/>
    <w:uiPriority w:val="0"/>
    <w:rPr>
      <w:rFonts w:ascii="宋体"/>
      <w:kern w:val="2"/>
      <w:sz w:val="24"/>
      <w:szCs w:val="21"/>
      <w:lang w:val="zh-CN"/>
    </w:rPr>
  </w:style>
  <w:style w:type="character" w:customStyle="1" w:styleId="55">
    <w:name w:val="标题 2 Char"/>
    <w:basedOn w:val="28"/>
    <w:link w:val="2"/>
    <w:qFormat/>
    <w:uiPriority w:val="9"/>
    <w:rPr>
      <w:rFonts w:ascii="仿宋_GB2312" w:hAnsi="仿宋" w:eastAsia="仿宋_GB2312"/>
      <w:b/>
      <w:bCs/>
      <w:kern w:val="2"/>
      <w:sz w:val="32"/>
      <w:szCs w:val="32"/>
      <w:lang w:val="zh-CN"/>
    </w:rPr>
  </w:style>
  <w:style w:type="character" w:customStyle="1" w:styleId="56">
    <w:name w:val="apple-converted-space"/>
    <w:qFormat/>
    <w:uiPriority w:val="0"/>
    <w:rPr>
      <w:rFonts w:hint="default" w:ascii="Tahoma" w:hAnsi="Tahoma" w:cs="Tahoma"/>
      <w:sz w:val="24"/>
      <w:szCs w:val="20"/>
    </w:rPr>
  </w:style>
  <w:style w:type="character" w:customStyle="1" w:styleId="57">
    <w:name w:val="标题 4 Char"/>
    <w:basedOn w:val="28"/>
    <w:link w:val="5"/>
    <w:qFormat/>
    <w:uiPriority w:val="9"/>
    <w:rPr>
      <w:rFonts w:ascii="仿宋" w:hAnsi="仿宋" w:eastAsia="仿宋" w:cstheme="majorBidi"/>
      <w:b/>
      <w:bCs/>
      <w:spacing w:val="5"/>
      <w:sz w:val="24"/>
      <w:szCs w:val="24"/>
    </w:rPr>
  </w:style>
  <w:style w:type="character" w:customStyle="1" w:styleId="58">
    <w:name w:val="标题 5 Char"/>
    <w:basedOn w:val="28"/>
    <w:link w:val="6"/>
    <w:semiHidden/>
    <w:qFormat/>
    <w:uiPriority w:val="9"/>
    <w:rPr>
      <w:rFonts w:ascii="仿宋" w:hAnsi="仿宋" w:eastAsia="仿宋" w:cstheme="majorBidi"/>
      <w:i/>
      <w:iCs/>
      <w:sz w:val="24"/>
      <w:szCs w:val="24"/>
    </w:rPr>
  </w:style>
  <w:style w:type="character" w:customStyle="1" w:styleId="59">
    <w:name w:val="标题 6 Char"/>
    <w:basedOn w:val="28"/>
    <w:link w:val="7"/>
    <w:semiHidden/>
    <w:qFormat/>
    <w:uiPriority w:val="9"/>
    <w:rPr>
      <w:rFonts w:ascii="仿宋" w:hAnsi="仿宋" w:eastAsia="仿宋" w:cstheme="majorBidi"/>
      <w:b/>
      <w:bCs/>
      <w:color w:val="595959" w:themeColor="text1" w:themeTint="A6"/>
      <w:spacing w:val="5"/>
      <w:sz w:val="24"/>
      <w:szCs w:val="24"/>
      <w:shd w:val="clear" w:color="auto" w:fill="FFFFFF" w:themeFill="background1"/>
      <w14:textFill>
        <w14:solidFill>
          <w14:schemeClr w14:val="tx1">
            <w14:lumMod w14:val="65000"/>
            <w14:lumOff w14:val="35000"/>
          </w14:schemeClr>
        </w14:solidFill>
      </w14:textFill>
    </w:rPr>
  </w:style>
  <w:style w:type="character" w:customStyle="1" w:styleId="60">
    <w:name w:val="标题 7 Char"/>
    <w:basedOn w:val="28"/>
    <w:link w:val="8"/>
    <w:semiHidden/>
    <w:qFormat/>
    <w:uiPriority w:val="9"/>
    <w:rPr>
      <w:rFonts w:ascii="仿宋" w:hAnsi="仿宋" w:eastAsia="仿宋" w:cstheme="majorBidi"/>
      <w:b/>
      <w:bCs/>
      <w:i/>
      <w:iCs/>
      <w:color w:val="595959" w:themeColor="text1" w:themeTint="A6"/>
      <w14:textFill>
        <w14:solidFill>
          <w14:schemeClr w14:val="tx1">
            <w14:lumMod w14:val="65000"/>
            <w14:lumOff w14:val="35000"/>
          </w14:schemeClr>
        </w14:solidFill>
      </w14:textFill>
    </w:rPr>
  </w:style>
  <w:style w:type="character" w:customStyle="1" w:styleId="61">
    <w:name w:val="标题 8 Char"/>
    <w:basedOn w:val="28"/>
    <w:link w:val="9"/>
    <w:semiHidden/>
    <w:qFormat/>
    <w:uiPriority w:val="9"/>
    <w:rPr>
      <w:rFonts w:ascii="仿宋" w:hAnsi="仿宋" w:eastAsia="仿宋" w:cstheme="majorBidi"/>
      <w:b/>
      <w:bCs/>
      <w:color w:val="808080" w:themeColor="text1" w:themeTint="80"/>
      <w14:textFill>
        <w14:solidFill>
          <w14:schemeClr w14:val="tx1">
            <w14:lumMod w14:val="50000"/>
            <w14:lumOff w14:val="50000"/>
          </w14:schemeClr>
        </w14:solidFill>
      </w14:textFill>
    </w:rPr>
  </w:style>
  <w:style w:type="character" w:customStyle="1" w:styleId="62">
    <w:name w:val="标题 9 Char"/>
    <w:basedOn w:val="28"/>
    <w:link w:val="10"/>
    <w:semiHidden/>
    <w:qFormat/>
    <w:uiPriority w:val="9"/>
    <w:rPr>
      <w:rFonts w:ascii="仿宋" w:hAnsi="仿宋" w:eastAsia="仿宋" w:cstheme="majorBidi"/>
      <w:b/>
      <w:bCs/>
      <w:i/>
      <w:iCs/>
      <w:color w:val="808080" w:themeColor="text1" w:themeTint="80"/>
      <w:sz w:val="18"/>
      <w:szCs w:val="18"/>
      <w14:textFill>
        <w14:solidFill>
          <w14:schemeClr w14:val="tx1">
            <w14:lumMod w14:val="50000"/>
            <w14:lumOff w14:val="50000"/>
          </w14:schemeClr>
        </w14:solidFill>
      </w14:textFill>
    </w:rPr>
  </w:style>
  <w:style w:type="character" w:customStyle="1" w:styleId="63">
    <w:name w:val="标题 1 Char"/>
    <w:basedOn w:val="28"/>
    <w:link w:val="3"/>
    <w:qFormat/>
    <w:uiPriority w:val="9"/>
    <w:rPr>
      <w:rFonts w:ascii="仿宋" w:hAnsi="仿宋" w:eastAsia="仿宋" w:cs="仿宋_GB2312"/>
      <w:b/>
      <w:color w:val="000000"/>
      <w:kern w:val="2"/>
      <w:sz w:val="36"/>
      <w:szCs w:val="36"/>
    </w:rPr>
  </w:style>
  <w:style w:type="character" w:customStyle="1" w:styleId="64">
    <w:name w:val="标题 Char"/>
    <w:basedOn w:val="28"/>
    <w:link w:val="23"/>
    <w:qFormat/>
    <w:uiPriority w:val="10"/>
    <w:rPr>
      <w:b/>
      <w:sz w:val="24"/>
      <w:lang w:val="en-GB"/>
    </w:rPr>
  </w:style>
  <w:style w:type="character" w:customStyle="1" w:styleId="65">
    <w:name w:val="副标题 Char"/>
    <w:basedOn w:val="28"/>
    <w:link w:val="21"/>
    <w:qFormat/>
    <w:uiPriority w:val="11"/>
    <w:rPr>
      <w:rFonts w:ascii="仿宋" w:hAnsi="仿宋" w:eastAsia="仿宋" w:cstheme="majorBidi"/>
      <w:i/>
      <w:iCs/>
      <w:smallCaps/>
      <w:spacing w:val="10"/>
      <w:sz w:val="28"/>
      <w:szCs w:val="28"/>
    </w:rPr>
  </w:style>
  <w:style w:type="paragraph" w:styleId="66">
    <w:name w:val="No Spacing"/>
    <w:basedOn w:val="1"/>
    <w:link w:val="77"/>
    <w:qFormat/>
    <w:uiPriority w:val="1"/>
    <w:pPr>
      <w:widowControl/>
      <w:adjustRightInd/>
      <w:jc w:val="left"/>
    </w:pPr>
    <w:rPr>
      <w:rFonts w:ascii="仿宋" w:hAnsi="仿宋" w:eastAsia="仿宋" w:cstheme="majorBidi"/>
      <w:kern w:val="0"/>
      <w:sz w:val="24"/>
    </w:rPr>
  </w:style>
  <w:style w:type="paragraph" w:styleId="67">
    <w:name w:val="Quote"/>
    <w:basedOn w:val="1"/>
    <w:next w:val="1"/>
    <w:link w:val="68"/>
    <w:qFormat/>
    <w:uiPriority w:val="29"/>
    <w:pPr>
      <w:widowControl/>
      <w:adjustRightInd/>
      <w:spacing w:after="200"/>
      <w:jc w:val="left"/>
    </w:pPr>
    <w:rPr>
      <w:rFonts w:ascii="仿宋" w:hAnsi="仿宋" w:eastAsia="仿宋" w:cstheme="majorBidi"/>
      <w:i/>
      <w:iCs/>
      <w:kern w:val="0"/>
      <w:sz w:val="24"/>
    </w:rPr>
  </w:style>
  <w:style w:type="character" w:customStyle="1" w:styleId="68">
    <w:name w:val="引用 Char"/>
    <w:basedOn w:val="28"/>
    <w:link w:val="67"/>
    <w:qFormat/>
    <w:uiPriority w:val="29"/>
    <w:rPr>
      <w:rFonts w:ascii="仿宋" w:hAnsi="仿宋" w:eastAsia="仿宋" w:cstheme="majorBidi"/>
      <w:i/>
      <w:iCs/>
      <w:sz w:val="24"/>
      <w:szCs w:val="24"/>
    </w:rPr>
  </w:style>
  <w:style w:type="paragraph" w:styleId="69">
    <w:name w:val="Intense Quote"/>
    <w:basedOn w:val="1"/>
    <w:next w:val="1"/>
    <w:link w:val="70"/>
    <w:qFormat/>
    <w:uiPriority w:val="30"/>
    <w:pPr>
      <w:widowControl/>
      <w:pBdr>
        <w:top w:val="single" w:color="auto" w:sz="4" w:space="10"/>
        <w:bottom w:val="single" w:color="auto" w:sz="4" w:space="10"/>
      </w:pBdr>
      <w:adjustRightInd/>
      <w:spacing w:before="240" w:after="240" w:line="300" w:lineRule="auto"/>
      <w:ind w:left="1152" w:right="1152"/>
    </w:pPr>
    <w:rPr>
      <w:rFonts w:ascii="仿宋" w:hAnsi="仿宋" w:eastAsia="仿宋" w:cstheme="majorBidi"/>
      <w:i/>
      <w:iCs/>
      <w:kern w:val="0"/>
      <w:sz w:val="24"/>
    </w:rPr>
  </w:style>
  <w:style w:type="character" w:customStyle="1" w:styleId="70">
    <w:name w:val="明显引用 Char"/>
    <w:basedOn w:val="28"/>
    <w:link w:val="69"/>
    <w:qFormat/>
    <w:uiPriority w:val="30"/>
    <w:rPr>
      <w:rFonts w:ascii="仿宋" w:hAnsi="仿宋" w:eastAsia="仿宋" w:cstheme="majorBidi"/>
      <w:i/>
      <w:iCs/>
      <w:sz w:val="24"/>
      <w:szCs w:val="24"/>
    </w:rPr>
  </w:style>
  <w:style w:type="character" w:customStyle="1" w:styleId="71">
    <w:name w:val="不明显强调1"/>
    <w:qFormat/>
    <w:uiPriority w:val="19"/>
    <w:rPr>
      <w:i/>
      <w:iCs/>
    </w:rPr>
  </w:style>
  <w:style w:type="character" w:customStyle="1" w:styleId="72">
    <w:name w:val="明显强调1"/>
    <w:qFormat/>
    <w:uiPriority w:val="21"/>
    <w:rPr>
      <w:b/>
      <w:bCs/>
      <w:i/>
      <w:iCs/>
    </w:rPr>
  </w:style>
  <w:style w:type="character" w:customStyle="1" w:styleId="73">
    <w:name w:val="不明显参考1"/>
    <w:basedOn w:val="28"/>
    <w:qFormat/>
    <w:uiPriority w:val="31"/>
    <w:rPr>
      <w:smallCaps/>
    </w:rPr>
  </w:style>
  <w:style w:type="character" w:customStyle="1" w:styleId="74">
    <w:name w:val="明显参考1"/>
    <w:qFormat/>
    <w:uiPriority w:val="32"/>
    <w:rPr>
      <w:b/>
      <w:bCs/>
      <w:smallCaps/>
    </w:rPr>
  </w:style>
  <w:style w:type="character" w:customStyle="1" w:styleId="75">
    <w:name w:val="书籍标题1"/>
    <w:basedOn w:val="28"/>
    <w:qFormat/>
    <w:uiPriority w:val="33"/>
    <w:rPr>
      <w:i/>
      <w:iCs/>
      <w:smallCaps/>
      <w:spacing w:val="5"/>
    </w:rPr>
  </w:style>
  <w:style w:type="paragraph" w:customStyle="1" w:styleId="76">
    <w:name w:val="TOC 标题1"/>
    <w:basedOn w:val="3"/>
    <w:next w:val="1"/>
    <w:semiHidden/>
    <w:unhideWhenUsed/>
    <w:qFormat/>
    <w:uiPriority w:val="39"/>
    <w:pPr>
      <w:widowControl/>
      <w:spacing w:before="480" w:line="240" w:lineRule="auto"/>
      <w:contextualSpacing/>
      <w:outlineLvl w:val="9"/>
    </w:pPr>
    <w:rPr>
      <w:rFonts w:ascii="仿宋_GB2312" w:eastAsia="仿宋_GB2312" w:cstheme="majorBidi"/>
      <w:smallCaps/>
      <w:color w:val="auto"/>
      <w:spacing w:val="5"/>
      <w:kern w:val="0"/>
      <w:lang w:bidi="en-US"/>
    </w:rPr>
  </w:style>
  <w:style w:type="character" w:customStyle="1" w:styleId="77">
    <w:name w:val="无间隔 Char"/>
    <w:basedOn w:val="28"/>
    <w:link w:val="66"/>
    <w:qFormat/>
    <w:uiPriority w:val="1"/>
    <w:rPr>
      <w:rFonts w:ascii="仿宋" w:hAnsi="仿宋" w:eastAsia="仿宋" w:cstheme="majorBidi"/>
      <w:sz w:val="24"/>
      <w:szCs w:val="24"/>
    </w:rPr>
  </w:style>
  <w:style w:type="paragraph" w:customStyle="1" w:styleId="78">
    <w:name w:val="Personal Name"/>
    <w:basedOn w:val="23"/>
    <w:qFormat/>
    <w:uiPriority w:val="0"/>
    <w:pPr>
      <w:overflowPunct/>
      <w:autoSpaceDE/>
      <w:autoSpaceDN/>
      <w:adjustRightInd/>
      <w:spacing w:after="300"/>
      <w:contextualSpacing/>
      <w:jc w:val="left"/>
      <w:textAlignment w:val="auto"/>
    </w:pPr>
    <w:rPr>
      <w:rFonts w:ascii="仿宋" w:hAnsi="仿宋" w:eastAsia="仿宋" w:cstheme="majorBidi"/>
      <w:caps/>
      <w:smallCaps/>
      <w:color w:val="000000"/>
      <w:sz w:val="28"/>
      <w:szCs w:val="28"/>
      <w:lang w:val="en-US"/>
    </w:rPr>
  </w:style>
  <w:style w:type="character" w:customStyle="1" w:styleId="79">
    <w:name w:val="正文文本缩进 Char"/>
    <w:basedOn w:val="28"/>
    <w:semiHidden/>
    <w:qFormat/>
    <w:uiPriority w:val="99"/>
    <w:rPr>
      <w:rFonts w:ascii="仿宋" w:hAnsi="仿宋" w:eastAsia="仿宋"/>
      <w:sz w:val="24"/>
      <w:szCs w:val="24"/>
    </w:rPr>
  </w:style>
  <w:style w:type="character" w:customStyle="1" w:styleId="80">
    <w:name w:val="标题 Char2"/>
    <w:qFormat/>
    <w:uiPriority w:val="10"/>
    <w:rPr>
      <w:b/>
      <w:sz w:val="24"/>
      <w:lang w:val="en-GB"/>
    </w:rPr>
  </w:style>
  <w:style w:type="character" w:customStyle="1" w:styleId="81">
    <w:name w:val="纯文本 Char1"/>
    <w:link w:val="82"/>
    <w:qFormat/>
    <w:uiPriority w:val="0"/>
    <w:rPr>
      <w:rFonts w:ascii="宋体" w:hAnsi="Courier New"/>
    </w:rPr>
  </w:style>
  <w:style w:type="paragraph" w:customStyle="1" w:styleId="82">
    <w:name w:val="纯文本1"/>
    <w:basedOn w:val="1"/>
    <w:link w:val="81"/>
    <w:qFormat/>
    <w:uiPriority w:val="0"/>
    <w:pPr>
      <w:adjustRightInd/>
    </w:pPr>
    <w:rPr>
      <w:rFonts w:ascii="宋体" w:hAnsi="Courier New"/>
      <w:kern w:val="0"/>
      <w:sz w:val="20"/>
      <w:szCs w:val="20"/>
    </w:rPr>
  </w:style>
  <w:style w:type="character" w:customStyle="1" w:styleId="83">
    <w:name w:val="页脚 Char2"/>
    <w:qFormat/>
    <w:locked/>
    <w:uiPriority w:val="99"/>
    <w:rPr>
      <w:kern w:val="2"/>
      <w:sz w:val="18"/>
      <w:szCs w:val="18"/>
    </w:rPr>
  </w:style>
  <w:style w:type="character" w:customStyle="1" w:styleId="84">
    <w:name w:val="页眉 Char2"/>
    <w:qFormat/>
    <w:uiPriority w:val="99"/>
    <w:rPr>
      <w:kern w:val="2"/>
      <w:sz w:val="18"/>
      <w:szCs w:val="18"/>
    </w:rPr>
  </w:style>
  <w:style w:type="paragraph" w:customStyle="1" w:styleId="85">
    <w:name w:val="索引 11"/>
    <w:basedOn w:val="1"/>
    <w:next w:val="1"/>
    <w:qFormat/>
    <w:uiPriority w:val="99"/>
    <w:pPr>
      <w:adjustRightInd/>
      <w:spacing w:line="360" w:lineRule="auto"/>
    </w:pPr>
    <w:rPr>
      <w:rFonts w:ascii="仿宋_GB2312" w:eastAsia="仿宋_GB2312"/>
      <w:sz w:val="24"/>
      <w:szCs w:val="20"/>
    </w:rPr>
  </w:style>
  <w:style w:type="paragraph" w:customStyle="1" w:styleId="86">
    <w:name w:val="正文缩进1"/>
    <w:basedOn w:val="1"/>
    <w:next w:val="1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8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88">
    <w:name w:val="纯文本 Char_0"/>
    <w:link w:val="38"/>
    <w:qFormat/>
    <w:uiPriority w:val="0"/>
    <w:rPr>
      <w:rFonts w:ascii="宋体" w:hAnsi="Courier New"/>
      <w:kern w:val="2"/>
      <w:sz w:val="21"/>
      <w:szCs w:val="21"/>
    </w:rPr>
  </w:style>
  <w:style w:type="character" w:customStyle="1" w:styleId="89">
    <w:name w:val="批注框文本 Char"/>
    <w:basedOn w:val="28"/>
    <w:link w:val="17"/>
    <w:qFormat/>
    <w:uiPriority w:val="99"/>
    <w:rPr>
      <w:rFonts w:ascii="仿宋" w:hAnsi="仿宋" w:eastAsia="仿宋" w:cstheme="majorBidi"/>
      <w:sz w:val="18"/>
      <w:szCs w:val="18"/>
    </w:rPr>
  </w:style>
  <w:style w:type="character" w:customStyle="1" w:styleId="90">
    <w:name w:val="纯文本 字符2"/>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1351</Words>
  <Characters>7706</Characters>
  <Lines>64</Lines>
  <Paragraphs>18</Paragraphs>
  <TotalTime>0</TotalTime>
  <ScaleCrop>false</ScaleCrop>
  <LinksUpToDate>false</LinksUpToDate>
  <CharactersWithSpaces>9039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2023-06-09T15:31:00Z</dcterms:created>
  <dc:creator>Administrator</dc:creator>
  <cp:lastModifiedBy>YJD</cp:lastModifiedBy>
  <cp:lastPrinted>2023-06-19T09:27:00Z</cp:lastPrinted>
  <dcterms:modified xsi:type="dcterms:W3CDTF">2023-07-05T08:13:25Z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C10ED53335423D71BDD79164DDB523A3</vt:lpwstr>
  </property>
</Properties>
</file>