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b/>
          <w:sz w:val="36"/>
          <w:szCs w:val="36"/>
        </w:rPr>
      </w:pPr>
      <w:bookmarkStart w:id="0" w:name="_GoBack"/>
      <w:r>
        <w:rPr>
          <w:rFonts w:hint="eastAsia" w:ascii="仿宋" w:hAnsi="仿宋"/>
          <w:b/>
          <w:sz w:val="36"/>
          <w:szCs w:val="36"/>
        </w:rPr>
        <w:t>杭州市水务集团租赁单位月度检查表</w:t>
      </w:r>
    </w:p>
    <w:bookmarkEnd w:id="0"/>
    <w:p>
      <w:pPr>
        <w:ind w:firstLine="640" w:firstLineChars="200"/>
        <w:rPr>
          <w:rFonts w:ascii="仿宋" w:hAnsi="仿宋"/>
          <w:b/>
          <w:sz w:val="36"/>
          <w:szCs w:val="36"/>
        </w:rPr>
      </w:pPr>
      <w:r>
        <w:t>为全面贯彻</w:t>
      </w:r>
      <w:r>
        <w:rPr>
          <w:rFonts w:hint="eastAsia"/>
        </w:rPr>
        <w:t>安全生产</w:t>
      </w:r>
      <w:r>
        <w:t>制度，充分调动</w:t>
      </w:r>
      <w:r>
        <w:rPr>
          <w:rFonts w:hint="eastAsia"/>
        </w:rPr>
        <w:t>各租赁单位</w:t>
      </w:r>
      <w:r>
        <w:t>的积极性，努力提高管理水平，有效控制</w:t>
      </w:r>
      <w:r>
        <w:rPr>
          <w:rFonts w:hint="eastAsia"/>
        </w:rPr>
        <w:t>各类风险</w:t>
      </w:r>
      <w:r>
        <w:t>，保证</w:t>
      </w:r>
      <w:r>
        <w:rPr>
          <w:rFonts w:hint="eastAsia"/>
        </w:rPr>
        <w:t>租赁场所的生产安全</w:t>
      </w:r>
      <w:r>
        <w:t>，</w:t>
      </w:r>
      <w:r>
        <w:rPr>
          <w:rFonts w:hint="eastAsia"/>
        </w:rPr>
        <w:t>特</w:t>
      </w:r>
      <w:r>
        <w:t>制定本</w:t>
      </w:r>
      <w:r>
        <w:rPr>
          <w:rFonts w:hint="eastAsia"/>
        </w:rPr>
        <w:t>检查表</w:t>
      </w:r>
      <w:r>
        <w:t>。</w:t>
      </w:r>
    </w:p>
    <w:p>
      <w:pPr>
        <w:spacing w:line="360" w:lineRule="auto"/>
        <w:rPr>
          <w:rFonts w:ascii="仿宋" w:hAnsi="仿宋"/>
          <w:sz w:val="28"/>
          <w:szCs w:val="28"/>
        </w:rPr>
      </w:pPr>
      <w:r>
        <w:rPr>
          <w:rFonts w:hint="eastAsia" w:ascii="仿宋" w:hAnsi="仿宋"/>
          <w:sz w:val="28"/>
          <w:szCs w:val="28"/>
        </w:rPr>
        <w:t>承租单位：                      检查时间：</w:t>
      </w:r>
    </w:p>
    <w:tbl>
      <w:tblPr>
        <w:tblStyle w:val="4"/>
        <w:tblW w:w="7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843"/>
        <w:gridCol w:w="3118"/>
        <w:gridCol w:w="794"/>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718" w:type="dxa"/>
            <w:vAlign w:val="center"/>
          </w:tcPr>
          <w:p>
            <w:pPr>
              <w:jc w:val="center"/>
              <w:rPr>
                <w:rFonts w:ascii="仿宋" w:hAnsi="仿宋"/>
                <w:b/>
                <w:kern w:val="0"/>
                <w:sz w:val="24"/>
              </w:rPr>
            </w:pPr>
            <w:r>
              <w:rPr>
                <w:rFonts w:ascii="仿宋" w:hAnsi="仿宋"/>
                <w:b/>
                <w:kern w:val="0"/>
                <w:sz w:val="24"/>
              </w:rPr>
              <w:t>序号</w:t>
            </w:r>
          </w:p>
        </w:tc>
        <w:tc>
          <w:tcPr>
            <w:tcW w:w="1843" w:type="dxa"/>
            <w:vAlign w:val="center"/>
          </w:tcPr>
          <w:p>
            <w:pPr>
              <w:jc w:val="center"/>
              <w:rPr>
                <w:rFonts w:ascii="仿宋" w:hAnsi="仿宋"/>
                <w:b/>
                <w:kern w:val="0"/>
                <w:sz w:val="24"/>
              </w:rPr>
            </w:pPr>
            <w:r>
              <w:rPr>
                <w:rFonts w:ascii="仿宋" w:hAnsi="仿宋"/>
                <w:b/>
                <w:kern w:val="0"/>
                <w:sz w:val="24"/>
              </w:rPr>
              <w:t>考核项目</w:t>
            </w:r>
          </w:p>
        </w:tc>
        <w:tc>
          <w:tcPr>
            <w:tcW w:w="3118" w:type="dxa"/>
            <w:vAlign w:val="center"/>
          </w:tcPr>
          <w:p>
            <w:pPr>
              <w:jc w:val="center"/>
              <w:rPr>
                <w:rFonts w:ascii="仿宋" w:hAnsi="仿宋"/>
                <w:b/>
                <w:kern w:val="0"/>
                <w:sz w:val="24"/>
              </w:rPr>
            </w:pPr>
            <w:r>
              <w:rPr>
                <w:rFonts w:ascii="仿宋" w:hAnsi="仿宋"/>
                <w:b/>
                <w:kern w:val="0"/>
                <w:sz w:val="24"/>
              </w:rPr>
              <w:t>评分标准</w:t>
            </w:r>
          </w:p>
        </w:tc>
        <w:tc>
          <w:tcPr>
            <w:tcW w:w="794" w:type="dxa"/>
            <w:vAlign w:val="center"/>
          </w:tcPr>
          <w:p>
            <w:pPr>
              <w:jc w:val="center"/>
              <w:rPr>
                <w:rFonts w:ascii="仿宋" w:hAnsi="仿宋"/>
                <w:b/>
                <w:kern w:val="0"/>
                <w:sz w:val="24"/>
              </w:rPr>
            </w:pPr>
            <w:r>
              <w:rPr>
                <w:rFonts w:hint="eastAsia" w:ascii="仿宋" w:hAnsi="仿宋"/>
                <w:b/>
                <w:kern w:val="0"/>
                <w:sz w:val="24"/>
              </w:rPr>
              <w:t>扣罚金额</w:t>
            </w:r>
          </w:p>
        </w:tc>
        <w:tc>
          <w:tcPr>
            <w:tcW w:w="1421" w:type="dxa"/>
            <w:vAlign w:val="center"/>
          </w:tcPr>
          <w:p>
            <w:pPr>
              <w:jc w:val="center"/>
              <w:rPr>
                <w:rFonts w:ascii="仿宋" w:hAnsi="仿宋"/>
                <w:b/>
                <w:kern w:val="0"/>
                <w:sz w:val="24"/>
              </w:rPr>
            </w:pPr>
            <w:r>
              <w:rPr>
                <w:rFonts w:ascii="仿宋" w:hAnsi="仿宋"/>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b/>
                <w:kern w:val="0"/>
                <w:sz w:val="24"/>
              </w:rPr>
            </w:pPr>
            <w:r>
              <w:rPr>
                <w:rFonts w:hint="eastAsia" w:ascii="仿宋" w:hAnsi="仿宋"/>
                <w:b/>
                <w:kern w:val="0"/>
                <w:sz w:val="24"/>
              </w:rPr>
              <w:t>一</w:t>
            </w:r>
          </w:p>
        </w:tc>
        <w:tc>
          <w:tcPr>
            <w:tcW w:w="1843" w:type="dxa"/>
            <w:vAlign w:val="center"/>
          </w:tcPr>
          <w:p>
            <w:pPr>
              <w:rPr>
                <w:rFonts w:ascii="仿宋" w:hAnsi="仿宋"/>
                <w:kern w:val="0"/>
                <w:sz w:val="24"/>
              </w:rPr>
            </w:pPr>
            <w:r>
              <w:rPr>
                <w:rFonts w:hint="eastAsia" w:ascii="仿宋" w:hAnsi="仿宋"/>
                <w:b/>
                <w:kern w:val="0"/>
                <w:sz w:val="24"/>
              </w:rPr>
              <w:t>装修审批</w:t>
            </w:r>
          </w:p>
        </w:tc>
        <w:tc>
          <w:tcPr>
            <w:tcW w:w="3118" w:type="dxa"/>
            <w:vAlign w:val="center"/>
          </w:tcPr>
          <w:p>
            <w:pPr>
              <w:rPr>
                <w:rFonts w:ascii="仿宋" w:hAnsi="仿宋"/>
                <w:kern w:val="0"/>
                <w:sz w:val="24"/>
              </w:rPr>
            </w:pP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kern w:val="0"/>
                <w:sz w:val="24"/>
              </w:rPr>
            </w:pPr>
            <w:r>
              <w:rPr>
                <w:rFonts w:hint="eastAsia" w:ascii="仿宋" w:hAnsi="仿宋"/>
                <w:kern w:val="0"/>
                <w:sz w:val="24"/>
              </w:rPr>
              <w:t>1</w:t>
            </w:r>
          </w:p>
        </w:tc>
        <w:tc>
          <w:tcPr>
            <w:tcW w:w="1843" w:type="dxa"/>
            <w:vAlign w:val="center"/>
          </w:tcPr>
          <w:p>
            <w:pPr>
              <w:jc w:val="center"/>
              <w:rPr>
                <w:rFonts w:ascii="仿宋" w:hAnsi="仿宋"/>
                <w:kern w:val="0"/>
                <w:sz w:val="24"/>
              </w:rPr>
            </w:pPr>
            <w:r>
              <w:rPr>
                <w:rFonts w:hint="eastAsia" w:ascii="仿宋" w:hAnsi="仿宋"/>
                <w:color w:val="000000"/>
                <w:kern w:val="0"/>
                <w:sz w:val="24"/>
              </w:rPr>
              <w:t>租赁</w:t>
            </w:r>
            <w:r>
              <w:rPr>
                <w:rFonts w:hint="eastAsia" w:ascii="仿宋" w:hAnsi="仿宋"/>
                <w:kern w:val="0"/>
                <w:sz w:val="24"/>
              </w:rPr>
              <w:t>房屋进行内部装修审批备案</w:t>
            </w:r>
          </w:p>
        </w:tc>
        <w:tc>
          <w:tcPr>
            <w:tcW w:w="3118" w:type="dxa"/>
            <w:vAlign w:val="center"/>
          </w:tcPr>
          <w:p>
            <w:pPr>
              <w:rPr>
                <w:rFonts w:ascii="仿宋" w:hAnsi="仿宋"/>
                <w:kern w:val="0"/>
                <w:sz w:val="24"/>
              </w:rPr>
            </w:pPr>
            <w:r>
              <w:rPr>
                <w:rFonts w:hint="eastAsia" w:ascii="仿宋" w:hAnsi="仿宋"/>
                <w:kern w:val="0"/>
                <w:sz w:val="24"/>
              </w:rPr>
              <w:t>未经甲方同意私自开工装修扣500-1000元</w:t>
            </w:r>
            <w:r>
              <w:rPr>
                <w:rFonts w:ascii="仿宋" w:hAnsi="仿宋"/>
                <w:kern w:val="0"/>
                <w:sz w:val="24"/>
              </w:rPr>
              <w:t xml:space="preserve"> </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b/>
                <w:kern w:val="0"/>
                <w:sz w:val="24"/>
              </w:rPr>
            </w:pPr>
            <w:r>
              <w:rPr>
                <w:rFonts w:hint="eastAsia" w:ascii="仿宋" w:hAnsi="仿宋"/>
                <w:kern w:val="0"/>
                <w:sz w:val="24"/>
              </w:rPr>
              <w:t>2</w:t>
            </w:r>
          </w:p>
        </w:tc>
        <w:tc>
          <w:tcPr>
            <w:tcW w:w="1843" w:type="dxa"/>
            <w:vAlign w:val="center"/>
          </w:tcPr>
          <w:p>
            <w:pPr>
              <w:jc w:val="center"/>
              <w:rPr>
                <w:rFonts w:ascii="仿宋" w:hAnsi="仿宋"/>
                <w:color w:val="FF0000"/>
                <w:kern w:val="0"/>
                <w:sz w:val="24"/>
              </w:rPr>
            </w:pPr>
          </w:p>
        </w:tc>
        <w:tc>
          <w:tcPr>
            <w:tcW w:w="3118" w:type="dxa"/>
            <w:vAlign w:val="center"/>
          </w:tcPr>
          <w:p>
            <w:pPr>
              <w:rPr>
                <w:rFonts w:ascii="仿宋" w:hAnsi="仿宋"/>
                <w:color w:val="FF0000"/>
                <w:kern w:val="0"/>
                <w:sz w:val="24"/>
              </w:rPr>
            </w:pPr>
            <w:r>
              <w:rPr>
                <w:rFonts w:hint="eastAsia" w:ascii="仿宋" w:hAnsi="仿宋"/>
                <w:kern w:val="0"/>
                <w:sz w:val="24"/>
              </w:rPr>
              <w:t>未向公安消防等部门办理申报审批手续私自开工装修扣500-1000元</w:t>
            </w:r>
          </w:p>
        </w:tc>
        <w:tc>
          <w:tcPr>
            <w:tcW w:w="794" w:type="dxa"/>
            <w:vAlign w:val="center"/>
          </w:tcPr>
          <w:p>
            <w:pPr>
              <w:jc w:val="center"/>
              <w:rPr>
                <w:rFonts w:ascii="仿宋" w:hAnsi="仿宋"/>
                <w:color w:val="FF0000"/>
                <w:kern w:val="0"/>
                <w:sz w:val="24"/>
              </w:rPr>
            </w:pPr>
          </w:p>
        </w:tc>
        <w:tc>
          <w:tcPr>
            <w:tcW w:w="1421" w:type="dxa"/>
            <w:vAlign w:val="center"/>
          </w:tcPr>
          <w:p>
            <w:pPr>
              <w:jc w:val="center"/>
              <w:rPr>
                <w:rFonts w:ascii="仿宋" w:hAnsi="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b/>
                <w:kern w:val="0"/>
                <w:sz w:val="24"/>
              </w:rPr>
            </w:pPr>
            <w:r>
              <w:rPr>
                <w:rFonts w:hint="eastAsia" w:ascii="仿宋" w:hAnsi="仿宋"/>
                <w:b/>
                <w:kern w:val="0"/>
                <w:sz w:val="24"/>
              </w:rPr>
              <w:t>3</w:t>
            </w:r>
          </w:p>
        </w:tc>
        <w:tc>
          <w:tcPr>
            <w:tcW w:w="1843" w:type="dxa"/>
            <w:vAlign w:val="center"/>
          </w:tcPr>
          <w:p>
            <w:pPr>
              <w:jc w:val="center"/>
              <w:rPr>
                <w:rFonts w:ascii="仿宋" w:hAnsi="仿宋"/>
                <w:kern w:val="0"/>
                <w:sz w:val="24"/>
              </w:rPr>
            </w:pPr>
          </w:p>
        </w:tc>
        <w:tc>
          <w:tcPr>
            <w:tcW w:w="3118" w:type="dxa"/>
            <w:vAlign w:val="center"/>
          </w:tcPr>
          <w:p>
            <w:pPr>
              <w:rPr>
                <w:rFonts w:ascii="仿宋" w:hAnsi="仿宋"/>
                <w:color w:val="0000FF"/>
                <w:kern w:val="0"/>
                <w:sz w:val="24"/>
              </w:rPr>
            </w:pPr>
            <w:r>
              <w:rPr>
                <w:rFonts w:hint="eastAsia" w:ascii="仿宋" w:hAnsi="仿宋"/>
                <w:kern w:val="0"/>
                <w:sz w:val="24"/>
              </w:rPr>
              <w:t>未到甲方物业管理部门办理审批手续，擅自动用明火作业和使用特种设备扣200-1000元</w:t>
            </w:r>
          </w:p>
        </w:tc>
        <w:tc>
          <w:tcPr>
            <w:tcW w:w="794" w:type="dxa"/>
            <w:vAlign w:val="center"/>
          </w:tcPr>
          <w:p>
            <w:pPr>
              <w:jc w:val="center"/>
              <w:rPr>
                <w:rFonts w:ascii="仿宋" w:hAnsi="仿宋"/>
                <w:color w:val="FF0000"/>
                <w:kern w:val="0"/>
                <w:sz w:val="24"/>
              </w:rPr>
            </w:pPr>
          </w:p>
        </w:tc>
        <w:tc>
          <w:tcPr>
            <w:tcW w:w="1421" w:type="dxa"/>
            <w:vAlign w:val="center"/>
          </w:tcPr>
          <w:p>
            <w:pPr>
              <w:jc w:val="center"/>
              <w:rPr>
                <w:rFonts w:ascii="仿宋" w:hAnsi="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b/>
                <w:kern w:val="0"/>
                <w:sz w:val="24"/>
              </w:rPr>
            </w:pPr>
            <w:r>
              <w:rPr>
                <w:rFonts w:hint="eastAsia" w:ascii="仿宋" w:hAnsi="仿宋"/>
                <w:b/>
                <w:kern w:val="0"/>
                <w:sz w:val="24"/>
              </w:rPr>
              <w:t>4</w:t>
            </w:r>
          </w:p>
        </w:tc>
        <w:tc>
          <w:tcPr>
            <w:tcW w:w="1843" w:type="dxa"/>
            <w:vAlign w:val="center"/>
          </w:tcPr>
          <w:p>
            <w:pPr>
              <w:rPr>
                <w:rFonts w:ascii="仿宋" w:hAnsi="仿宋"/>
                <w:color w:val="FF0000"/>
                <w:kern w:val="0"/>
                <w:sz w:val="24"/>
              </w:rPr>
            </w:pPr>
          </w:p>
        </w:tc>
        <w:tc>
          <w:tcPr>
            <w:tcW w:w="3118" w:type="dxa"/>
            <w:vAlign w:val="center"/>
          </w:tcPr>
          <w:p>
            <w:pPr>
              <w:rPr>
                <w:rFonts w:ascii="仿宋" w:hAnsi="仿宋"/>
                <w:kern w:val="0"/>
                <w:sz w:val="24"/>
              </w:rPr>
            </w:pPr>
            <w:r>
              <w:rPr>
                <w:rFonts w:hint="eastAsia" w:ascii="仿宋" w:hAnsi="仿宋"/>
                <w:kern w:val="0"/>
                <w:sz w:val="24"/>
              </w:rPr>
              <w:t>特种专业工种无证上岗扣100元/人。</w:t>
            </w:r>
          </w:p>
        </w:tc>
        <w:tc>
          <w:tcPr>
            <w:tcW w:w="794" w:type="dxa"/>
            <w:vAlign w:val="center"/>
          </w:tcPr>
          <w:p>
            <w:pPr>
              <w:jc w:val="center"/>
              <w:rPr>
                <w:rFonts w:ascii="仿宋" w:hAnsi="仿宋"/>
                <w:color w:val="FF0000"/>
                <w:kern w:val="0"/>
                <w:sz w:val="24"/>
              </w:rPr>
            </w:pPr>
          </w:p>
        </w:tc>
        <w:tc>
          <w:tcPr>
            <w:tcW w:w="1421" w:type="dxa"/>
            <w:vAlign w:val="center"/>
          </w:tcPr>
          <w:p>
            <w:pPr>
              <w:jc w:val="center"/>
              <w:rPr>
                <w:rFonts w:ascii="仿宋" w:hAnsi="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b/>
                <w:kern w:val="0"/>
                <w:sz w:val="24"/>
              </w:rPr>
            </w:pPr>
            <w:r>
              <w:rPr>
                <w:rFonts w:hint="eastAsia" w:ascii="仿宋" w:hAnsi="仿宋"/>
                <w:b/>
                <w:kern w:val="0"/>
                <w:sz w:val="24"/>
              </w:rPr>
              <w:t>5</w:t>
            </w:r>
          </w:p>
        </w:tc>
        <w:tc>
          <w:tcPr>
            <w:tcW w:w="1843" w:type="dxa"/>
            <w:vAlign w:val="center"/>
          </w:tcPr>
          <w:p>
            <w:pPr>
              <w:rPr>
                <w:rFonts w:ascii="仿宋" w:hAnsi="仿宋"/>
                <w:kern w:val="0"/>
                <w:sz w:val="24"/>
              </w:rPr>
            </w:pPr>
          </w:p>
        </w:tc>
        <w:tc>
          <w:tcPr>
            <w:tcW w:w="3118" w:type="dxa"/>
            <w:vAlign w:val="center"/>
          </w:tcPr>
          <w:p>
            <w:pPr>
              <w:rPr>
                <w:rFonts w:ascii="仿宋" w:hAnsi="仿宋"/>
                <w:kern w:val="0"/>
                <w:sz w:val="24"/>
              </w:rPr>
            </w:pPr>
            <w:r>
              <w:rPr>
                <w:rFonts w:hint="eastAsia" w:ascii="仿宋" w:hAnsi="仿宋"/>
                <w:kern w:val="0"/>
                <w:sz w:val="24"/>
              </w:rPr>
              <w:t>场地内存在擅自搭建扣1000元-5000元/次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b/>
                <w:kern w:val="0"/>
                <w:sz w:val="24"/>
              </w:rPr>
            </w:pPr>
            <w:r>
              <w:rPr>
                <w:rFonts w:hint="eastAsia" w:ascii="仿宋" w:hAnsi="仿宋"/>
                <w:b/>
                <w:kern w:val="0"/>
                <w:sz w:val="24"/>
              </w:rPr>
              <w:t>6</w:t>
            </w:r>
          </w:p>
        </w:tc>
        <w:tc>
          <w:tcPr>
            <w:tcW w:w="1843" w:type="dxa"/>
            <w:vAlign w:val="center"/>
          </w:tcPr>
          <w:p>
            <w:pPr>
              <w:rPr>
                <w:rFonts w:ascii="仿宋" w:hAnsi="仿宋"/>
                <w:kern w:val="0"/>
                <w:sz w:val="24"/>
              </w:rPr>
            </w:pPr>
          </w:p>
        </w:tc>
        <w:tc>
          <w:tcPr>
            <w:tcW w:w="3118" w:type="dxa"/>
            <w:vAlign w:val="center"/>
          </w:tcPr>
          <w:p>
            <w:pPr>
              <w:rPr>
                <w:rFonts w:ascii="仿宋" w:hAnsi="仿宋"/>
                <w:color w:val="002060"/>
                <w:kern w:val="0"/>
                <w:sz w:val="24"/>
              </w:rPr>
            </w:pPr>
            <w:r>
              <w:rPr>
                <w:rFonts w:hint="eastAsia" w:ascii="仿宋" w:hAnsi="仿宋"/>
                <w:kern w:val="0"/>
                <w:sz w:val="24"/>
              </w:rPr>
              <w:t>实际装修与装修审批备案内容不符扣400元-1000元/次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b/>
                <w:color w:val="000000"/>
                <w:kern w:val="0"/>
                <w:sz w:val="24"/>
              </w:rPr>
            </w:pPr>
            <w:r>
              <w:rPr>
                <w:rFonts w:hint="eastAsia" w:ascii="仿宋" w:hAnsi="仿宋"/>
                <w:b/>
                <w:kern w:val="0"/>
                <w:sz w:val="24"/>
              </w:rPr>
              <w:t>7</w:t>
            </w:r>
          </w:p>
        </w:tc>
        <w:tc>
          <w:tcPr>
            <w:tcW w:w="1843" w:type="dxa"/>
            <w:vAlign w:val="center"/>
          </w:tcPr>
          <w:p>
            <w:pPr>
              <w:jc w:val="center"/>
              <w:rPr>
                <w:rFonts w:ascii="仿宋" w:hAnsi="仿宋"/>
                <w:b/>
                <w:kern w:val="0"/>
                <w:sz w:val="24"/>
              </w:rPr>
            </w:pPr>
          </w:p>
        </w:tc>
        <w:tc>
          <w:tcPr>
            <w:tcW w:w="3118" w:type="dxa"/>
            <w:vAlign w:val="center"/>
          </w:tcPr>
          <w:p>
            <w:pPr>
              <w:rPr>
                <w:rFonts w:ascii="仿宋" w:hAnsi="仿宋"/>
                <w:kern w:val="0"/>
                <w:sz w:val="24"/>
              </w:rPr>
            </w:pPr>
            <w:r>
              <w:rPr>
                <w:rFonts w:hint="eastAsia" w:ascii="仿宋" w:hAnsi="仿宋"/>
                <w:kern w:val="0"/>
                <w:sz w:val="24"/>
              </w:rPr>
              <w:t>装修期间造成甲方或其他租赁客户设施、设备损坏200-1000元/次，并照价赔偿</w:t>
            </w:r>
          </w:p>
        </w:tc>
        <w:tc>
          <w:tcPr>
            <w:tcW w:w="794" w:type="dxa"/>
            <w:vAlign w:val="center"/>
          </w:tcPr>
          <w:p>
            <w:pPr>
              <w:jc w:val="center"/>
              <w:rPr>
                <w:rFonts w:ascii="仿宋" w:hAnsi="仿宋"/>
                <w:b/>
                <w:kern w:val="0"/>
                <w:sz w:val="24"/>
              </w:rPr>
            </w:pPr>
          </w:p>
        </w:tc>
        <w:tc>
          <w:tcPr>
            <w:tcW w:w="1421" w:type="dxa"/>
            <w:vAlign w:val="center"/>
          </w:tcPr>
          <w:p>
            <w:pPr>
              <w:jc w:val="center"/>
              <w:rPr>
                <w:rFonts w:ascii="仿宋" w:hAnsi="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b/>
                <w:kern w:val="0"/>
                <w:sz w:val="24"/>
              </w:rPr>
            </w:pPr>
            <w:r>
              <w:rPr>
                <w:rFonts w:hint="eastAsia" w:ascii="仿宋" w:hAnsi="仿宋"/>
                <w:b/>
                <w:kern w:val="0"/>
                <w:sz w:val="24"/>
              </w:rPr>
              <w:t>二</w:t>
            </w:r>
          </w:p>
        </w:tc>
        <w:tc>
          <w:tcPr>
            <w:tcW w:w="1843" w:type="dxa"/>
            <w:vAlign w:val="center"/>
          </w:tcPr>
          <w:p>
            <w:pPr>
              <w:jc w:val="center"/>
              <w:rPr>
                <w:rFonts w:ascii="仿宋" w:hAnsi="仿宋"/>
                <w:kern w:val="0"/>
                <w:sz w:val="24"/>
              </w:rPr>
            </w:pPr>
            <w:r>
              <w:rPr>
                <w:rFonts w:hint="eastAsia" w:ascii="仿宋" w:hAnsi="仿宋"/>
                <w:b/>
                <w:kern w:val="0"/>
                <w:sz w:val="24"/>
              </w:rPr>
              <w:t>消防安全管理</w:t>
            </w:r>
          </w:p>
        </w:tc>
        <w:tc>
          <w:tcPr>
            <w:tcW w:w="3118" w:type="dxa"/>
            <w:vAlign w:val="center"/>
          </w:tcPr>
          <w:p>
            <w:pPr>
              <w:rPr>
                <w:rFonts w:ascii="仿宋" w:hAnsi="仿宋"/>
                <w:kern w:val="0"/>
                <w:sz w:val="24"/>
              </w:rPr>
            </w:pPr>
            <w:r>
              <w:rPr>
                <w:rFonts w:hint="eastAsia" w:ascii="仿宋" w:hAnsi="仿宋"/>
                <w:kern w:val="0"/>
                <w:sz w:val="24"/>
              </w:rPr>
              <w:t>未按规定设置消防设施或有失效的扣200元/次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kern w:val="0"/>
                <w:sz w:val="24"/>
              </w:rPr>
            </w:pPr>
            <w:r>
              <w:rPr>
                <w:rFonts w:hint="eastAsia" w:ascii="仿宋" w:hAnsi="仿宋"/>
                <w:kern w:val="0"/>
                <w:sz w:val="24"/>
              </w:rPr>
              <w:t>1</w:t>
            </w:r>
          </w:p>
        </w:tc>
        <w:tc>
          <w:tcPr>
            <w:tcW w:w="1843" w:type="dxa"/>
            <w:vAlign w:val="center"/>
          </w:tcPr>
          <w:p>
            <w:pPr>
              <w:jc w:val="center"/>
              <w:rPr>
                <w:rFonts w:ascii="仿宋" w:hAnsi="仿宋"/>
                <w:color w:val="FF0000"/>
                <w:kern w:val="0"/>
                <w:sz w:val="24"/>
              </w:rPr>
            </w:pPr>
          </w:p>
        </w:tc>
        <w:tc>
          <w:tcPr>
            <w:tcW w:w="3118" w:type="dxa"/>
            <w:vAlign w:val="center"/>
          </w:tcPr>
          <w:p>
            <w:pPr>
              <w:rPr>
                <w:rFonts w:ascii="仿宋" w:hAnsi="仿宋"/>
                <w:color w:val="FF0000"/>
                <w:kern w:val="0"/>
                <w:sz w:val="24"/>
              </w:rPr>
            </w:pPr>
            <w:r>
              <w:rPr>
                <w:rFonts w:hint="eastAsia" w:ascii="仿宋" w:hAnsi="仿宋"/>
                <w:kern w:val="0"/>
                <w:sz w:val="24"/>
              </w:rPr>
              <w:t>未经许可擅自挪用、移动，随意改装消防设施、设备扣500-1000元/次</w:t>
            </w:r>
          </w:p>
        </w:tc>
        <w:tc>
          <w:tcPr>
            <w:tcW w:w="794" w:type="dxa"/>
            <w:vAlign w:val="center"/>
          </w:tcPr>
          <w:p>
            <w:pPr>
              <w:jc w:val="center"/>
              <w:rPr>
                <w:rFonts w:ascii="仿宋" w:hAnsi="仿宋"/>
                <w:color w:val="FF0000"/>
                <w:kern w:val="0"/>
                <w:sz w:val="24"/>
              </w:rPr>
            </w:pPr>
          </w:p>
        </w:tc>
        <w:tc>
          <w:tcPr>
            <w:tcW w:w="1421" w:type="dxa"/>
            <w:vAlign w:val="center"/>
          </w:tcPr>
          <w:p>
            <w:pPr>
              <w:jc w:val="center"/>
              <w:rPr>
                <w:rFonts w:ascii="仿宋" w:hAnsi="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kern w:val="0"/>
                <w:sz w:val="24"/>
              </w:rPr>
            </w:pPr>
            <w:r>
              <w:rPr>
                <w:rFonts w:hint="eastAsia" w:ascii="仿宋" w:hAnsi="仿宋"/>
                <w:kern w:val="0"/>
                <w:sz w:val="24"/>
              </w:rPr>
              <w:t>2</w:t>
            </w:r>
          </w:p>
        </w:tc>
        <w:tc>
          <w:tcPr>
            <w:tcW w:w="1843" w:type="dxa"/>
            <w:vAlign w:val="center"/>
          </w:tcPr>
          <w:p>
            <w:pPr>
              <w:jc w:val="center"/>
              <w:rPr>
                <w:rFonts w:ascii="仿宋" w:hAnsi="仿宋"/>
                <w:color w:val="FF0000"/>
                <w:kern w:val="0"/>
                <w:sz w:val="24"/>
              </w:rPr>
            </w:pPr>
          </w:p>
        </w:tc>
        <w:tc>
          <w:tcPr>
            <w:tcW w:w="3118" w:type="dxa"/>
            <w:vAlign w:val="center"/>
          </w:tcPr>
          <w:p>
            <w:pPr>
              <w:rPr>
                <w:rFonts w:ascii="仿宋" w:hAnsi="仿宋"/>
                <w:color w:val="FF0000"/>
                <w:kern w:val="0"/>
                <w:sz w:val="24"/>
              </w:rPr>
            </w:pPr>
            <w:r>
              <w:rPr>
                <w:rFonts w:hint="eastAsia" w:ascii="仿宋" w:hAnsi="仿宋"/>
                <w:kern w:val="0"/>
                <w:sz w:val="24"/>
              </w:rPr>
              <w:t>安全出口、疏散通道未保持畅通，堆放杂物扣200-1000元/次</w:t>
            </w:r>
          </w:p>
        </w:tc>
        <w:tc>
          <w:tcPr>
            <w:tcW w:w="794" w:type="dxa"/>
            <w:vAlign w:val="center"/>
          </w:tcPr>
          <w:p>
            <w:pPr>
              <w:jc w:val="center"/>
              <w:rPr>
                <w:rFonts w:ascii="仿宋" w:hAnsi="仿宋"/>
                <w:color w:val="FF0000"/>
                <w:kern w:val="0"/>
                <w:sz w:val="24"/>
              </w:rPr>
            </w:pPr>
          </w:p>
        </w:tc>
        <w:tc>
          <w:tcPr>
            <w:tcW w:w="1421" w:type="dxa"/>
            <w:vAlign w:val="center"/>
          </w:tcPr>
          <w:p>
            <w:pPr>
              <w:jc w:val="center"/>
              <w:rPr>
                <w:rFonts w:ascii="仿宋" w:hAnsi="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kern w:val="0"/>
                <w:sz w:val="24"/>
              </w:rPr>
            </w:pPr>
            <w:r>
              <w:rPr>
                <w:rFonts w:hint="eastAsia" w:ascii="仿宋" w:hAnsi="仿宋"/>
                <w:kern w:val="0"/>
                <w:sz w:val="24"/>
              </w:rPr>
              <w:t>3</w:t>
            </w:r>
          </w:p>
        </w:tc>
        <w:tc>
          <w:tcPr>
            <w:tcW w:w="1843" w:type="dxa"/>
            <w:vAlign w:val="center"/>
          </w:tcPr>
          <w:p>
            <w:pPr>
              <w:jc w:val="center"/>
              <w:rPr>
                <w:rFonts w:ascii="仿宋" w:hAnsi="仿宋"/>
                <w:kern w:val="0"/>
                <w:sz w:val="24"/>
              </w:rPr>
            </w:pPr>
          </w:p>
        </w:tc>
        <w:tc>
          <w:tcPr>
            <w:tcW w:w="3118" w:type="dxa"/>
            <w:vAlign w:val="center"/>
          </w:tcPr>
          <w:p>
            <w:pPr>
              <w:rPr>
                <w:rFonts w:ascii="仿宋" w:hAnsi="仿宋"/>
                <w:kern w:val="0"/>
                <w:sz w:val="24"/>
              </w:rPr>
            </w:pPr>
            <w:r>
              <w:rPr>
                <w:rFonts w:hint="eastAsia" w:ascii="仿宋" w:hAnsi="仿宋"/>
                <w:kern w:val="0"/>
                <w:sz w:val="24"/>
              </w:rPr>
              <w:t>未按规定设置安全疏散指示标志、应急照明并保持完好扣100元/处</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kern w:val="0"/>
                <w:sz w:val="24"/>
              </w:rPr>
            </w:pPr>
            <w:r>
              <w:rPr>
                <w:rFonts w:hint="eastAsia" w:ascii="仿宋" w:hAnsi="仿宋"/>
                <w:kern w:val="0"/>
                <w:sz w:val="24"/>
              </w:rPr>
              <w:t>4</w:t>
            </w:r>
          </w:p>
        </w:tc>
        <w:tc>
          <w:tcPr>
            <w:tcW w:w="1843" w:type="dxa"/>
            <w:vAlign w:val="center"/>
          </w:tcPr>
          <w:p>
            <w:pPr>
              <w:jc w:val="center"/>
              <w:rPr>
                <w:rFonts w:ascii="仿宋" w:hAnsi="仿宋"/>
                <w:b/>
                <w:color w:val="FF0000"/>
                <w:kern w:val="0"/>
                <w:sz w:val="24"/>
              </w:rPr>
            </w:pPr>
          </w:p>
        </w:tc>
        <w:tc>
          <w:tcPr>
            <w:tcW w:w="3118" w:type="dxa"/>
            <w:vAlign w:val="center"/>
          </w:tcPr>
          <w:p>
            <w:pPr>
              <w:rPr>
                <w:rFonts w:ascii="仿宋" w:hAnsi="仿宋"/>
                <w:kern w:val="0"/>
                <w:sz w:val="24"/>
              </w:rPr>
            </w:pPr>
            <w:r>
              <w:rPr>
                <w:rFonts w:hint="eastAsia" w:ascii="仿宋" w:hAnsi="仿宋"/>
                <w:kern w:val="0"/>
                <w:sz w:val="24"/>
              </w:rPr>
              <w:t>未按规范使用液化气钢瓶或其他燃料扣200-1000元/次</w:t>
            </w:r>
          </w:p>
        </w:tc>
        <w:tc>
          <w:tcPr>
            <w:tcW w:w="794" w:type="dxa"/>
            <w:vAlign w:val="center"/>
          </w:tcPr>
          <w:p>
            <w:pPr>
              <w:jc w:val="center"/>
              <w:rPr>
                <w:rFonts w:ascii="仿宋" w:hAnsi="仿宋"/>
                <w:color w:val="FF0000"/>
                <w:kern w:val="0"/>
                <w:sz w:val="24"/>
              </w:rPr>
            </w:pPr>
          </w:p>
        </w:tc>
        <w:tc>
          <w:tcPr>
            <w:tcW w:w="1421" w:type="dxa"/>
            <w:vAlign w:val="center"/>
          </w:tcPr>
          <w:p>
            <w:pPr>
              <w:jc w:val="center"/>
              <w:rPr>
                <w:rFonts w:ascii="仿宋" w:hAnsi="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kern w:val="0"/>
                <w:sz w:val="24"/>
              </w:rPr>
            </w:pPr>
            <w:r>
              <w:rPr>
                <w:rFonts w:hint="eastAsia" w:ascii="仿宋" w:hAnsi="仿宋"/>
                <w:kern w:val="0"/>
                <w:sz w:val="24"/>
              </w:rPr>
              <w:t>5</w:t>
            </w:r>
          </w:p>
        </w:tc>
        <w:tc>
          <w:tcPr>
            <w:tcW w:w="1843" w:type="dxa"/>
            <w:vAlign w:val="center"/>
          </w:tcPr>
          <w:p>
            <w:pPr>
              <w:jc w:val="center"/>
              <w:rPr>
                <w:rFonts w:ascii="仿宋" w:hAnsi="仿宋"/>
                <w:kern w:val="0"/>
                <w:sz w:val="24"/>
              </w:rPr>
            </w:pPr>
          </w:p>
        </w:tc>
        <w:tc>
          <w:tcPr>
            <w:tcW w:w="3118" w:type="dxa"/>
            <w:vAlign w:val="center"/>
          </w:tcPr>
          <w:p>
            <w:pPr>
              <w:rPr>
                <w:rFonts w:ascii="仿宋" w:hAnsi="仿宋"/>
                <w:kern w:val="0"/>
                <w:sz w:val="24"/>
              </w:rPr>
            </w:pPr>
            <w:r>
              <w:rPr>
                <w:rFonts w:hint="eastAsia" w:ascii="仿宋" w:hAnsi="仿宋"/>
                <w:kern w:val="0"/>
                <w:sz w:val="24"/>
              </w:rPr>
              <w:t>液化气钢瓶间或管道煤气未定期检查无记录扣200元/次。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kern w:val="0"/>
                <w:sz w:val="24"/>
              </w:rPr>
            </w:pPr>
            <w:r>
              <w:rPr>
                <w:rFonts w:hint="eastAsia" w:ascii="仿宋" w:hAnsi="仿宋"/>
                <w:kern w:val="0"/>
                <w:sz w:val="24"/>
              </w:rPr>
              <w:t>6</w:t>
            </w:r>
          </w:p>
        </w:tc>
        <w:tc>
          <w:tcPr>
            <w:tcW w:w="1843" w:type="dxa"/>
            <w:vAlign w:val="center"/>
          </w:tcPr>
          <w:p>
            <w:pPr>
              <w:jc w:val="center"/>
              <w:rPr>
                <w:rFonts w:ascii="仿宋" w:hAnsi="仿宋"/>
                <w:kern w:val="0"/>
                <w:sz w:val="24"/>
              </w:rPr>
            </w:pPr>
          </w:p>
        </w:tc>
        <w:tc>
          <w:tcPr>
            <w:tcW w:w="3118" w:type="dxa"/>
            <w:vAlign w:val="center"/>
          </w:tcPr>
          <w:p>
            <w:pPr>
              <w:rPr>
                <w:rFonts w:ascii="仿宋" w:hAnsi="仿宋"/>
                <w:kern w:val="0"/>
                <w:sz w:val="24"/>
              </w:rPr>
            </w:pPr>
            <w:r>
              <w:rPr>
                <w:rFonts w:hint="eastAsia" w:ascii="仿宋" w:hAnsi="仿宋"/>
                <w:kern w:val="0"/>
                <w:sz w:val="24"/>
              </w:rPr>
              <w:t>油烟管道未定期清洗无记录扣200元/次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kern w:val="0"/>
                <w:sz w:val="24"/>
              </w:rPr>
            </w:pPr>
            <w:r>
              <w:rPr>
                <w:rFonts w:hint="eastAsia" w:ascii="仿宋" w:hAnsi="仿宋"/>
                <w:kern w:val="0"/>
                <w:sz w:val="24"/>
              </w:rPr>
              <w:t>7</w:t>
            </w:r>
          </w:p>
        </w:tc>
        <w:tc>
          <w:tcPr>
            <w:tcW w:w="1843" w:type="dxa"/>
            <w:vAlign w:val="center"/>
          </w:tcPr>
          <w:p>
            <w:pPr>
              <w:jc w:val="center"/>
              <w:rPr>
                <w:rFonts w:ascii="仿宋" w:hAnsi="仿宋"/>
                <w:kern w:val="0"/>
                <w:sz w:val="24"/>
              </w:rPr>
            </w:pPr>
          </w:p>
        </w:tc>
        <w:tc>
          <w:tcPr>
            <w:tcW w:w="3118" w:type="dxa"/>
            <w:vAlign w:val="center"/>
          </w:tcPr>
          <w:p>
            <w:pPr>
              <w:rPr>
                <w:rFonts w:ascii="仿宋" w:hAnsi="仿宋"/>
                <w:b/>
                <w:kern w:val="0"/>
                <w:sz w:val="24"/>
              </w:rPr>
            </w:pPr>
            <w:r>
              <w:rPr>
                <w:rFonts w:hint="eastAsia" w:ascii="仿宋" w:hAnsi="仿宋"/>
                <w:kern w:val="0"/>
                <w:sz w:val="24"/>
              </w:rPr>
              <w:t>使用不符合规范的接线板扣100-200元/次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kern w:val="0"/>
                <w:sz w:val="24"/>
              </w:rPr>
            </w:pPr>
            <w:r>
              <w:rPr>
                <w:rFonts w:hint="eastAsia" w:ascii="仿宋" w:hAnsi="仿宋"/>
                <w:kern w:val="0"/>
                <w:sz w:val="24"/>
              </w:rPr>
              <w:t>8</w:t>
            </w:r>
          </w:p>
        </w:tc>
        <w:tc>
          <w:tcPr>
            <w:tcW w:w="1843" w:type="dxa"/>
            <w:vAlign w:val="center"/>
          </w:tcPr>
          <w:p>
            <w:pPr>
              <w:jc w:val="center"/>
              <w:rPr>
                <w:rFonts w:ascii="仿宋" w:hAnsi="仿宋"/>
                <w:kern w:val="0"/>
                <w:sz w:val="24"/>
              </w:rPr>
            </w:pPr>
          </w:p>
        </w:tc>
        <w:tc>
          <w:tcPr>
            <w:tcW w:w="3118" w:type="dxa"/>
            <w:vAlign w:val="center"/>
          </w:tcPr>
          <w:p>
            <w:pPr>
              <w:rPr>
                <w:rFonts w:ascii="仿宋" w:hAnsi="仿宋"/>
                <w:b/>
                <w:kern w:val="0"/>
                <w:sz w:val="24"/>
              </w:rPr>
            </w:pPr>
            <w:r>
              <w:rPr>
                <w:rFonts w:hint="eastAsia" w:ascii="仿宋" w:hAnsi="仿宋"/>
                <w:kern w:val="0"/>
                <w:sz w:val="24"/>
              </w:rPr>
              <w:t>电线私拉乱接扣200-1000元/次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kern w:val="0"/>
                <w:sz w:val="24"/>
              </w:rPr>
            </w:pPr>
            <w:r>
              <w:rPr>
                <w:rFonts w:hint="eastAsia" w:ascii="仿宋" w:hAnsi="仿宋"/>
                <w:kern w:val="0"/>
                <w:sz w:val="24"/>
              </w:rPr>
              <w:t>9</w:t>
            </w:r>
          </w:p>
        </w:tc>
        <w:tc>
          <w:tcPr>
            <w:tcW w:w="1843" w:type="dxa"/>
            <w:vAlign w:val="center"/>
          </w:tcPr>
          <w:p>
            <w:pPr>
              <w:jc w:val="center"/>
              <w:rPr>
                <w:rFonts w:ascii="仿宋" w:hAnsi="仿宋"/>
                <w:kern w:val="0"/>
                <w:sz w:val="24"/>
              </w:rPr>
            </w:pPr>
          </w:p>
        </w:tc>
        <w:tc>
          <w:tcPr>
            <w:tcW w:w="3118" w:type="dxa"/>
            <w:vAlign w:val="center"/>
          </w:tcPr>
          <w:p>
            <w:pPr>
              <w:rPr>
                <w:rFonts w:ascii="仿宋" w:hAnsi="仿宋"/>
                <w:b/>
                <w:kern w:val="0"/>
                <w:sz w:val="24"/>
              </w:rPr>
            </w:pPr>
            <w:r>
              <w:rPr>
                <w:rFonts w:hint="eastAsia" w:ascii="仿宋" w:hAnsi="仿宋"/>
                <w:kern w:val="0"/>
                <w:sz w:val="24"/>
              </w:rPr>
              <w:t>消防设施未定期维保和年检（消防部门要求的场所）扣500-1000元/次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kern w:val="0"/>
                <w:sz w:val="24"/>
              </w:rPr>
            </w:pPr>
            <w:r>
              <w:rPr>
                <w:rFonts w:hint="eastAsia" w:ascii="仿宋" w:hAnsi="仿宋"/>
                <w:kern w:val="0"/>
                <w:sz w:val="24"/>
              </w:rPr>
              <w:t>10</w:t>
            </w:r>
          </w:p>
        </w:tc>
        <w:tc>
          <w:tcPr>
            <w:tcW w:w="1843" w:type="dxa"/>
            <w:vAlign w:val="center"/>
          </w:tcPr>
          <w:p>
            <w:pPr>
              <w:jc w:val="center"/>
              <w:rPr>
                <w:rFonts w:ascii="仿宋" w:hAnsi="仿宋"/>
                <w:kern w:val="0"/>
                <w:sz w:val="24"/>
              </w:rPr>
            </w:pPr>
          </w:p>
        </w:tc>
        <w:tc>
          <w:tcPr>
            <w:tcW w:w="3118" w:type="dxa"/>
            <w:vAlign w:val="center"/>
          </w:tcPr>
          <w:p>
            <w:pPr>
              <w:rPr>
                <w:rFonts w:ascii="仿宋" w:hAnsi="仿宋"/>
                <w:kern w:val="0"/>
                <w:sz w:val="24"/>
              </w:rPr>
            </w:pPr>
            <w:r>
              <w:rPr>
                <w:rFonts w:hint="eastAsia" w:ascii="仿宋" w:hAnsi="仿宋"/>
                <w:kern w:val="0"/>
                <w:sz w:val="24"/>
              </w:rPr>
              <w:t>仓库中存放危化品或易燃易爆用品扣500-2000元/次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kern w:val="0"/>
                <w:sz w:val="24"/>
              </w:rPr>
            </w:pPr>
            <w:r>
              <w:rPr>
                <w:rFonts w:hint="eastAsia" w:ascii="仿宋" w:hAnsi="仿宋"/>
                <w:kern w:val="0"/>
                <w:sz w:val="24"/>
              </w:rPr>
              <w:t>11</w:t>
            </w:r>
          </w:p>
        </w:tc>
        <w:tc>
          <w:tcPr>
            <w:tcW w:w="1843" w:type="dxa"/>
            <w:vAlign w:val="center"/>
          </w:tcPr>
          <w:p>
            <w:pPr>
              <w:jc w:val="center"/>
              <w:rPr>
                <w:rFonts w:ascii="仿宋" w:hAnsi="仿宋"/>
                <w:kern w:val="0"/>
                <w:sz w:val="24"/>
              </w:rPr>
            </w:pPr>
          </w:p>
        </w:tc>
        <w:tc>
          <w:tcPr>
            <w:tcW w:w="3118" w:type="dxa"/>
            <w:vAlign w:val="center"/>
          </w:tcPr>
          <w:p>
            <w:pPr>
              <w:rPr>
                <w:rFonts w:ascii="仿宋" w:hAnsi="仿宋"/>
                <w:kern w:val="0"/>
                <w:sz w:val="24"/>
              </w:rPr>
            </w:pPr>
            <w:r>
              <w:rPr>
                <w:rFonts w:hint="eastAsia" w:ascii="仿宋" w:hAnsi="仿宋"/>
                <w:kern w:val="0"/>
                <w:sz w:val="24"/>
              </w:rPr>
              <w:t>仓库未使用防爆灯扣200元/次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kern w:val="0"/>
                <w:sz w:val="24"/>
              </w:rPr>
            </w:pPr>
            <w:r>
              <w:rPr>
                <w:rFonts w:hint="eastAsia" w:ascii="仿宋" w:hAnsi="仿宋"/>
                <w:kern w:val="0"/>
                <w:sz w:val="24"/>
              </w:rPr>
              <w:t>12</w:t>
            </w:r>
          </w:p>
        </w:tc>
        <w:tc>
          <w:tcPr>
            <w:tcW w:w="1843" w:type="dxa"/>
            <w:vAlign w:val="center"/>
          </w:tcPr>
          <w:p>
            <w:pPr>
              <w:jc w:val="center"/>
              <w:rPr>
                <w:rFonts w:ascii="仿宋" w:hAnsi="仿宋"/>
                <w:kern w:val="0"/>
                <w:sz w:val="24"/>
              </w:rPr>
            </w:pPr>
          </w:p>
        </w:tc>
        <w:tc>
          <w:tcPr>
            <w:tcW w:w="3118" w:type="dxa"/>
            <w:vAlign w:val="center"/>
          </w:tcPr>
          <w:p>
            <w:pPr>
              <w:rPr>
                <w:rFonts w:ascii="仿宋" w:hAnsi="仿宋"/>
                <w:kern w:val="0"/>
                <w:sz w:val="24"/>
              </w:rPr>
            </w:pPr>
            <w:r>
              <w:rPr>
                <w:rFonts w:hint="eastAsia" w:ascii="仿宋" w:hAnsi="仿宋"/>
                <w:kern w:val="0"/>
                <w:sz w:val="24"/>
              </w:rPr>
              <w:t>在经营、仓储、生产场所有人员居住的（除值班人员）扣2000-5000元/次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b/>
                <w:kern w:val="0"/>
                <w:sz w:val="24"/>
              </w:rPr>
            </w:pPr>
            <w:r>
              <w:rPr>
                <w:rFonts w:hint="eastAsia" w:ascii="仿宋" w:hAnsi="仿宋"/>
                <w:b/>
                <w:kern w:val="0"/>
                <w:sz w:val="24"/>
              </w:rPr>
              <w:t>三</w:t>
            </w:r>
          </w:p>
        </w:tc>
        <w:tc>
          <w:tcPr>
            <w:tcW w:w="1843" w:type="dxa"/>
            <w:vAlign w:val="center"/>
          </w:tcPr>
          <w:p>
            <w:pPr>
              <w:jc w:val="center"/>
              <w:rPr>
                <w:rFonts w:ascii="仿宋" w:hAnsi="仿宋"/>
                <w:b/>
                <w:kern w:val="0"/>
                <w:sz w:val="24"/>
              </w:rPr>
            </w:pPr>
            <w:r>
              <w:rPr>
                <w:rFonts w:ascii="仿宋" w:hAnsi="仿宋"/>
                <w:b/>
                <w:kern w:val="0"/>
                <w:sz w:val="24"/>
              </w:rPr>
              <w:t>其他事项</w:t>
            </w:r>
          </w:p>
        </w:tc>
        <w:tc>
          <w:tcPr>
            <w:tcW w:w="3118" w:type="dxa"/>
            <w:vAlign w:val="center"/>
          </w:tcPr>
          <w:p>
            <w:pPr>
              <w:rPr>
                <w:rFonts w:ascii="仿宋" w:hAnsi="仿宋"/>
                <w:kern w:val="0"/>
                <w:sz w:val="24"/>
              </w:rPr>
            </w:pP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kern w:val="0"/>
                <w:sz w:val="24"/>
              </w:rPr>
            </w:pPr>
            <w:r>
              <w:rPr>
                <w:rFonts w:hint="eastAsia" w:ascii="仿宋" w:hAnsi="仿宋"/>
                <w:kern w:val="0"/>
                <w:sz w:val="24"/>
              </w:rPr>
              <w:t>1</w:t>
            </w:r>
          </w:p>
        </w:tc>
        <w:tc>
          <w:tcPr>
            <w:tcW w:w="1843" w:type="dxa"/>
            <w:vAlign w:val="center"/>
          </w:tcPr>
          <w:p>
            <w:pPr>
              <w:jc w:val="center"/>
              <w:rPr>
                <w:rFonts w:ascii="仿宋" w:hAnsi="仿宋"/>
                <w:b/>
                <w:kern w:val="0"/>
                <w:sz w:val="24"/>
              </w:rPr>
            </w:pPr>
          </w:p>
        </w:tc>
        <w:tc>
          <w:tcPr>
            <w:tcW w:w="3118" w:type="dxa"/>
            <w:vAlign w:val="center"/>
          </w:tcPr>
          <w:p>
            <w:pPr>
              <w:rPr>
                <w:rFonts w:ascii="仿宋" w:hAnsi="仿宋"/>
                <w:kern w:val="0"/>
                <w:sz w:val="24"/>
              </w:rPr>
            </w:pPr>
            <w:r>
              <w:rPr>
                <w:rFonts w:hint="eastAsia" w:ascii="仿宋" w:hAnsi="仿宋"/>
                <w:kern w:val="0"/>
                <w:sz w:val="24"/>
              </w:rPr>
              <w:t>未按时缴纳房租、水电等费用扣1000-5000元/次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kern w:val="0"/>
                <w:sz w:val="24"/>
              </w:rPr>
            </w:pPr>
            <w:r>
              <w:rPr>
                <w:rFonts w:hint="eastAsia" w:ascii="仿宋" w:hAnsi="仿宋"/>
                <w:kern w:val="0"/>
                <w:sz w:val="24"/>
              </w:rPr>
              <w:t>2</w:t>
            </w:r>
          </w:p>
        </w:tc>
        <w:tc>
          <w:tcPr>
            <w:tcW w:w="1843" w:type="dxa"/>
            <w:vAlign w:val="center"/>
          </w:tcPr>
          <w:p>
            <w:pPr>
              <w:jc w:val="center"/>
              <w:rPr>
                <w:rFonts w:ascii="仿宋" w:hAnsi="仿宋"/>
                <w:b/>
                <w:kern w:val="0"/>
                <w:sz w:val="24"/>
              </w:rPr>
            </w:pPr>
          </w:p>
        </w:tc>
        <w:tc>
          <w:tcPr>
            <w:tcW w:w="3118" w:type="dxa"/>
            <w:vAlign w:val="center"/>
          </w:tcPr>
          <w:p>
            <w:pPr>
              <w:rPr>
                <w:rFonts w:ascii="仿宋" w:hAnsi="仿宋"/>
                <w:kern w:val="0"/>
                <w:sz w:val="24"/>
              </w:rPr>
            </w:pPr>
            <w:r>
              <w:rPr>
                <w:rFonts w:hint="eastAsia" w:ascii="仿宋" w:hAnsi="仿宋"/>
                <w:kern w:val="0"/>
                <w:sz w:val="24"/>
              </w:rPr>
              <w:t>环境卫生脏乱差扣200-1000元/次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kern w:val="0"/>
                <w:sz w:val="24"/>
              </w:rPr>
            </w:pPr>
            <w:r>
              <w:rPr>
                <w:rFonts w:hint="eastAsia" w:ascii="仿宋" w:hAnsi="仿宋"/>
                <w:kern w:val="0"/>
                <w:sz w:val="24"/>
              </w:rPr>
              <w:t>3</w:t>
            </w:r>
          </w:p>
        </w:tc>
        <w:tc>
          <w:tcPr>
            <w:tcW w:w="1843" w:type="dxa"/>
            <w:vAlign w:val="center"/>
          </w:tcPr>
          <w:p>
            <w:pPr>
              <w:jc w:val="center"/>
              <w:rPr>
                <w:rFonts w:ascii="仿宋" w:hAnsi="仿宋"/>
                <w:kern w:val="0"/>
                <w:sz w:val="24"/>
              </w:rPr>
            </w:pPr>
          </w:p>
        </w:tc>
        <w:tc>
          <w:tcPr>
            <w:tcW w:w="3118" w:type="dxa"/>
            <w:vAlign w:val="center"/>
          </w:tcPr>
          <w:p>
            <w:pPr>
              <w:rPr>
                <w:rFonts w:ascii="仿宋" w:hAnsi="仿宋"/>
                <w:kern w:val="0"/>
                <w:sz w:val="24"/>
              </w:rPr>
            </w:pPr>
            <w:r>
              <w:rPr>
                <w:rFonts w:hint="eastAsia" w:ascii="仿宋" w:hAnsi="仿宋"/>
                <w:kern w:val="0"/>
                <w:sz w:val="24"/>
              </w:rPr>
              <w:t>未经有关部门审批私设广告牌200-500元/次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kern w:val="0"/>
                <w:sz w:val="24"/>
              </w:rPr>
            </w:pPr>
            <w:r>
              <w:rPr>
                <w:rFonts w:hint="eastAsia" w:ascii="仿宋" w:hAnsi="仿宋"/>
                <w:kern w:val="0"/>
                <w:sz w:val="24"/>
              </w:rPr>
              <w:t>4</w:t>
            </w:r>
          </w:p>
        </w:tc>
        <w:tc>
          <w:tcPr>
            <w:tcW w:w="1843" w:type="dxa"/>
            <w:vAlign w:val="center"/>
          </w:tcPr>
          <w:p>
            <w:pPr>
              <w:jc w:val="center"/>
              <w:rPr>
                <w:rFonts w:ascii="仿宋" w:hAnsi="仿宋"/>
                <w:kern w:val="0"/>
                <w:sz w:val="24"/>
              </w:rPr>
            </w:pPr>
          </w:p>
        </w:tc>
        <w:tc>
          <w:tcPr>
            <w:tcW w:w="3118" w:type="dxa"/>
            <w:vAlign w:val="center"/>
          </w:tcPr>
          <w:p>
            <w:pPr>
              <w:rPr>
                <w:rFonts w:ascii="仿宋" w:hAnsi="仿宋"/>
                <w:kern w:val="0"/>
                <w:sz w:val="24"/>
              </w:rPr>
            </w:pPr>
            <w:r>
              <w:rPr>
                <w:rFonts w:hint="eastAsia" w:ascii="仿宋" w:hAnsi="仿宋"/>
                <w:kern w:val="0"/>
                <w:sz w:val="24"/>
              </w:rPr>
              <w:t>未经甲方同意，擅自改变经营业态扣1000-5000元/次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kern w:val="0"/>
                <w:sz w:val="24"/>
              </w:rPr>
            </w:pPr>
            <w:r>
              <w:rPr>
                <w:rFonts w:hint="eastAsia" w:ascii="仿宋" w:hAnsi="仿宋"/>
                <w:kern w:val="0"/>
                <w:sz w:val="24"/>
              </w:rPr>
              <w:t>5</w:t>
            </w:r>
          </w:p>
        </w:tc>
        <w:tc>
          <w:tcPr>
            <w:tcW w:w="1843" w:type="dxa"/>
            <w:vAlign w:val="center"/>
          </w:tcPr>
          <w:p>
            <w:pPr>
              <w:jc w:val="center"/>
              <w:rPr>
                <w:rFonts w:ascii="仿宋" w:hAnsi="仿宋"/>
                <w:kern w:val="0"/>
                <w:sz w:val="24"/>
              </w:rPr>
            </w:pPr>
          </w:p>
        </w:tc>
        <w:tc>
          <w:tcPr>
            <w:tcW w:w="3118" w:type="dxa"/>
            <w:vAlign w:val="center"/>
          </w:tcPr>
          <w:p>
            <w:pPr>
              <w:rPr>
                <w:rFonts w:ascii="仿宋" w:hAnsi="仿宋"/>
                <w:kern w:val="0"/>
                <w:sz w:val="24"/>
              </w:rPr>
            </w:pPr>
            <w:r>
              <w:rPr>
                <w:rFonts w:hint="eastAsia" w:ascii="仿宋" w:hAnsi="仿宋"/>
                <w:kern w:val="0"/>
                <w:sz w:val="24"/>
              </w:rPr>
              <w:t>无证经营或超范围经营扣1000-5000元/次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color w:val="000000"/>
                <w:kern w:val="0"/>
                <w:sz w:val="24"/>
              </w:rPr>
            </w:pPr>
            <w:r>
              <w:rPr>
                <w:rFonts w:hint="eastAsia" w:ascii="仿宋" w:hAnsi="仿宋"/>
                <w:color w:val="000000"/>
                <w:kern w:val="0"/>
                <w:sz w:val="24"/>
              </w:rPr>
              <w:t>6</w:t>
            </w:r>
          </w:p>
        </w:tc>
        <w:tc>
          <w:tcPr>
            <w:tcW w:w="1843" w:type="dxa"/>
            <w:vAlign w:val="center"/>
          </w:tcPr>
          <w:p>
            <w:pPr>
              <w:jc w:val="center"/>
              <w:rPr>
                <w:rFonts w:ascii="仿宋" w:hAnsi="仿宋"/>
                <w:color w:val="000000"/>
                <w:kern w:val="0"/>
                <w:sz w:val="24"/>
              </w:rPr>
            </w:pPr>
          </w:p>
        </w:tc>
        <w:tc>
          <w:tcPr>
            <w:tcW w:w="3118" w:type="dxa"/>
            <w:vAlign w:val="center"/>
          </w:tcPr>
          <w:p>
            <w:pPr>
              <w:rPr>
                <w:rFonts w:ascii="仿宋" w:hAnsi="仿宋"/>
                <w:color w:val="000000"/>
                <w:kern w:val="0"/>
                <w:sz w:val="24"/>
              </w:rPr>
            </w:pPr>
            <w:r>
              <w:rPr>
                <w:rFonts w:hint="eastAsia" w:ascii="仿宋" w:hAnsi="仿宋"/>
                <w:color w:val="000000"/>
                <w:kern w:val="0"/>
                <w:sz w:val="24"/>
              </w:rPr>
              <w:t>无故不参加甲方组织的各类培训和会议，扣100-500元/次</w:t>
            </w:r>
          </w:p>
        </w:tc>
        <w:tc>
          <w:tcPr>
            <w:tcW w:w="794" w:type="dxa"/>
            <w:vAlign w:val="center"/>
          </w:tcPr>
          <w:p>
            <w:pPr>
              <w:jc w:val="center"/>
              <w:rPr>
                <w:rFonts w:ascii="仿宋" w:hAnsi="仿宋"/>
                <w:kern w:val="0"/>
                <w:sz w:val="24"/>
              </w:rPr>
            </w:pPr>
          </w:p>
        </w:tc>
        <w:tc>
          <w:tcPr>
            <w:tcW w:w="1421" w:type="dxa"/>
            <w:vAlign w:val="center"/>
          </w:tcPr>
          <w:p>
            <w:pPr>
              <w:jc w:val="center"/>
              <w:rPr>
                <w:rFonts w:ascii="仿宋" w:hAnsi="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kern w:val="0"/>
                <w:sz w:val="24"/>
              </w:rPr>
            </w:pPr>
            <w:r>
              <w:rPr>
                <w:rFonts w:hint="eastAsia" w:ascii="仿宋" w:hAnsi="仿宋"/>
                <w:kern w:val="0"/>
                <w:sz w:val="24"/>
              </w:rPr>
              <w:t>7</w:t>
            </w:r>
          </w:p>
        </w:tc>
        <w:tc>
          <w:tcPr>
            <w:tcW w:w="1843" w:type="dxa"/>
            <w:vAlign w:val="center"/>
          </w:tcPr>
          <w:p>
            <w:pPr>
              <w:jc w:val="center"/>
              <w:rPr>
                <w:rFonts w:ascii="仿宋" w:hAnsi="仿宋"/>
                <w:kern w:val="0"/>
                <w:sz w:val="24"/>
              </w:rPr>
            </w:pPr>
          </w:p>
        </w:tc>
        <w:tc>
          <w:tcPr>
            <w:tcW w:w="3118" w:type="dxa"/>
            <w:vAlign w:val="center"/>
          </w:tcPr>
          <w:p>
            <w:pPr>
              <w:rPr>
                <w:rFonts w:ascii="仿宋" w:hAnsi="仿宋"/>
                <w:kern w:val="0"/>
                <w:sz w:val="24"/>
              </w:rPr>
            </w:pPr>
            <w:r>
              <w:rPr>
                <w:rFonts w:hint="eastAsia" w:ascii="仿宋" w:hAnsi="仿宋"/>
                <w:kern w:val="0"/>
                <w:sz w:val="24"/>
              </w:rPr>
              <w:t>不积极处置或配合处置突发事件的，视情形扣1000-5000元</w:t>
            </w:r>
          </w:p>
        </w:tc>
        <w:tc>
          <w:tcPr>
            <w:tcW w:w="794" w:type="dxa"/>
            <w:vAlign w:val="center"/>
          </w:tcPr>
          <w:p>
            <w:pPr>
              <w:jc w:val="center"/>
              <w:rPr>
                <w:rFonts w:ascii="仿宋" w:hAnsi="仿宋"/>
                <w:b/>
                <w:kern w:val="0"/>
                <w:sz w:val="24"/>
              </w:rPr>
            </w:pPr>
          </w:p>
        </w:tc>
        <w:tc>
          <w:tcPr>
            <w:tcW w:w="1421" w:type="dxa"/>
            <w:vAlign w:val="center"/>
          </w:tcPr>
          <w:p>
            <w:pPr>
              <w:jc w:val="center"/>
              <w:rPr>
                <w:rFonts w:ascii="仿宋" w:hAnsi="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jc w:val="center"/>
              <w:rPr>
                <w:rFonts w:ascii="仿宋" w:hAnsi="仿宋"/>
                <w:kern w:val="0"/>
                <w:sz w:val="24"/>
              </w:rPr>
            </w:pPr>
            <w:r>
              <w:rPr>
                <w:rFonts w:hint="eastAsia" w:ascii="仿宋" w:hAnsi="仿宋"/>
                <w:kern w:val="0"/>
                <w:sz w:val="24"/>
              </w:rPr>
              <w:t>8</w:t>
            </w:r>
          </w:p>
        </w:tc>
        <w:tc>
          <w:tcPr>
            <w:tcW w:w="1843" w:type="dxa"/>
            <w:vAlign w:val="center"/>
          </w:tcPr>
          <w:p>
            <w:pPr>
              <w:jc w:val="center"/>
              <w:rPr>
                <w:rFonts w:ascii="仿宋" w:hAnsi="仿宋"/>
                <w:kern w:val="0"/>
                <w:sz w:val="24"/>
              </w:rPr>
            </w:pPr>
          </w:p>
        </w:tc>
        <w:tc>
          <w:tcPr>
            <w:tcW w:w="3118" w:type="dxa"/>
            <w:vAlign w:val="center"/>
          </w:tcPr>
          <w:p>
            <w:pPr>
              <w:rPr>
                <w:rFonts w:ascii="仿宋" w:hAnsi="仿宋"/>
                <w:kern w:val="0"/>
                <w:sz w:val="24"/>
              </w:rPr>
            </w:pPr>
            <w:r>
              <w:rPr>
                <w:rFonts w:hint="eastAsia" w:ascii="仿宋" w:hAnsi="仿宋"/>
                <w:kern w:val="0"/>
                <w:sz w:val="24"/>
              </w:rPr>
              <w:t>发生其他不良事件的，视情形扣200-5000元/次</w:t>
            </w:r>
          </w:p>
        </w:tc>
        <w:tc>
          <w:tcPr>
            <w:tcW w:w="794" w:type="dxa"/>
            <w:vAlign w:val="center"/>
          </w:tcPr>
          <w:p>
            <w:pPr>
              <w:jc w:val="center"/>
              <w:rPr>
                <w:rFonts w:ascii="仿宋" w:hAnsi="仿宋"/>
                <w:b/>
                <w:kern w:val="0"/>
                <w:sz w:val="24"/>
              </w:rPr>
            </w:pPr>
          </w:p>
        </w:tc>
        <w:tc>
          <w:tcPr>
            <w:tcW w:w="1421" w:type="dxa"/>
            <w:vAlign w:val="center"/>
          </w:tcPr>
          <w:p>
            <w:pPr>
              <w:jc w:val="center"/>
              <w:rPr>
                <w:rFonts w:ascii="仿宋" w:hAnsi="仿宋"/>
                <w:b/>
                <w:kern w:val="0"/>
                <w:sz w:val="24"/>
              </w:rPr>
            </w:pPr>
          </w:p>
        </w:tc>
      </w:tr>
    </w:tbl>
    <w:p>
      <w:pPr>
        <w:rPr>
          <w:sz w:val="28"/>
          <w:szCs w:val="28"/>
        </w:rPr>
      </w:pPr>
      <w:r>
        <w:rPr>
          <w:rFonts w:hint="eastAsia"/>
          <w:sz w:val="28"/>
          <w:szCs w:val="28"/>
        </w:rPr>
        <w:t>备注1甲方</w:t>
      </w:r>
      <w:r>
        <w:rPr>
          <w:rFonts w:hint="eastAsia" w:ascii="宋体" w:hAnsi="宋体"/>
          <w:sz w:val="28"/>
          <w:szCs w:val="28"/>
        </w:rPr>
        <w:t>对</w:t>
      </w:r>
      <w:r>
        <w:rPr>
          <w:rFonts w:hint="eastAsia"/>
          <w:sz w:val="28"/>
          <w:szCs w:val="28"/>
        </w:rPr>
        <w:t>租赁场所</w:t>
      </w:r>
      <w:r>
        <w:rPr>
          <w:rFonts w:hint="eastAsia" w:ascii="宋体" w:hAnsi="宋体"/>
          <w:sz w:val="28"/>
          <w:szCs w:val="28"/>
        </w:rPr>
        <w:t>开展月度检查、专项检查和领导抽查。</w:t>
      </w:r>
      <w:r>
        <w:rPr>
          <w:rFonts w:hint="eastAsia"/>
          <w:sz w:val="28"/>
          <w:szCs w:val="28"/>
        </w:rPr>
        <w:t>检查内容包括消防安全检查、电气安全检查、、违章搭建、经营业态、教育培训、制度建设等。</w:t>
      </w:r>
    </w:p>
    <w:p>
      <w:pPr>
        <w:rPr>
          <w:sz w:val="28"/>
          <w:szCs w:val="28"/>
        </w:rPr>
      </w:pPr>
      <w:r>
        <w:rPr>
          <w:rFonts w:hint="eastAsia"/>
          <w:sz w:val="28"/>
          <w:szCs w:val="28"/>
        </w:rPr>
        <w:t>备注2 租赁场所受到上级主管单位或集团各部门通报批评或出具书面整改意见的，按照《租赁单位月度检查表》中相对应项从重处罚。</w:t>
      </w:r>
    </w:p>
    <w:p>
      <w:pPr>
        <w:rPr>
          <w:sz w:val="28"/>
          <w:szCs w:val="28"/>
        </w:rPr>
      </w:pPr>
      <w:r>
        <w:rPr>
          <w:rFonts w:hint="eastAsia"/>
          <w:sz w:val="28"/>
          <w:szCs w:val="28"/>
        </w:rPr>
        <w:t>备注3 发生火灾或安全生产事故的，扣5000-20000元/次，并黄牌警告1次；性质严重的，直接解除租赁合同。</w:t>
      </w:r>
    </w:p>
    <w:p>
      <w:pPr>
        <w:rPr>
          <w:sz w:val="28"/>
          <w:szCs w:val="28"/>
        </w:rPr>
      </w:pPr>
      <w:r>
        <w:rPr>
          <w:rFonts w:hint="eastAsia"/>
          <w:sz w:val="28"/>
          <w:szCs w:val="28"/>
        </w:rPr>
        <w:t>备注4 租赁单位在被我方约谈之后，仍未整改到位或拒不整改，扣5000-20000元/次，并黄牌警告1次。</w:t>
      </w:r>
    </w:p>
    <w:p>
      <w:pPr>
        <w:rPr>
          <w:sz w:val="28"/>
          <w:szCs w:val="28"/>
        </w:rPr>
      </w:pPr>
      <w:r>
        <w:rPr>
          <w:rFonts w:hint="eastAsia"/>
          <w:sz w:val="28"/>
          <w:szCs w:val="28"/>
        </w:rPr>
        <w:t>备注5 合同周期内有二次（含二次）以上黄牌警告的，提前终止租赁合同，并列入租赁单位黑名单中，不得租赁集团房产。</w:t>
      </w:r>
    </w:p>
    <w:p/>
    <w:p>
      <w:pPr>
        <w:spacing w:line="540" w:lineRule="exact"/>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E3C87"/>
    <w:rsid w:val="077E3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仿宋" w:cs="Times New Roman"/>
      <w:kern w:val="2"/>
      <w:sz w:val="32"/>
      <w:szCs w:val="3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beforeLines="0" w:after="120" w:afterLines="0"/>
      <w:jc w:val="left"/>
    </w:pPr>
    <w:rPr>
      <w:b/>
      <w:bCs/>
      <w:caps/>
      <w:sz w:val="20"/>
      <w:szCs w:val="20"/>
    </w:rPr>
  </w:style>
  <w:style w:type="table" w:styleId="4">
    <w:name w:val="Table Grid"/>
    <w:basedOn w:val="3"/>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2021-09-09T09:25:00Z</dcterms:created>
  <dc:creator>Anry婧</dc:creator>
  <cp:lastModifiedBy>Anry婧</cp:lastModifiedBy>
  <dcterms:modified xsi:type="dcterms:W3CDTF">2021-09-09T09:27:05Z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FF1314C131AA41CFA5D7E0C0351D301E</vt:lpwstr>
  </property>
</Properties>
</file>