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我方拟承租杭州市文三路498-</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号房屋3年租赁权（标的编号：</w:t>
      </w:r>
      <w:r>
        <w:rPr>
          <w:rFonts w:hint="eastAsia" w:asciiTheme="minorEastAsia" w:hAnsiTheme="minorEastAsia" w:eastAsiaTheme="minorEastAsia"/>
          <w:szCs w:val="21"/>
          <w:u w:val="single"/>
        </w:rPr>
        <w:t>HJS2023ZL</w:t>
      </w:r>
      <w:r>
        <w:rPr>
          <w:rFonts w:hint="eastAsia" w:asciiTheme="minorEastAsia" w:hAnsiTheme="minorEastAsia" w:eastAsiaTheme="minorEastAsia"/>
          <w:szCs w:val="21"/>
          <w:u w:val="single"/>
          <w:lang w:val="en-US" w:eastAsia="zh-CN"/>
        </w:rPr>
        <w:t>1069</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w:t>
      </w:r>
      <w:bookmarkStart w:id="0" w:name="_GoBack"/>
      <w:bookmarkEnd w:id="0"/>
      <w:r>
        <w:rPr>
          <w:rFonts w:hint="eastAsia" w:asciiTheme="minorEastAsia" w:hAnsiTheme="minorEastAsia" w:eastAsiaTheme="minorEastAsia"/>
          <w:szCs w:val="21"/>
        </w:rPr>
        <w:t>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房屋租赁合同》及其附件；并在《成交通知书》、《房屋租赁合同》签署之日起5个工作日内向杭交所指定账户一次性支付首期租金、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履约保证金、装修保证金（人民币</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0000元）等交易资金（</w:t>
      </w:r>
      <w:r>
        <w:rPr>
          <w:rFonts w:hint="eastAsia" w:asciiTheme="minorEastAsia" w:hAnsiTheme="minorEastAsia" w:eastAsiaTheme="minorEastAsia"/>
          <w:szCs w:val="21"/>
          <w:lang w:val="en-US" w:eastAsia="zh-CN"/>
        </w:rPr>
        <w:t>以</w:t>
      </w:r>
      <w:r>
        <w:rPr>
          <w:rFonts w:hint="eastAsia" w:asciiTheme="minorEastAsia" w:hAnsiTheme="minorEastAsia" w:eastAsiaTheme="minorEastAsia"/>
          <w:szCs w:val="21"/>
        </w:rPr>
        <w:t>到账为准）。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w:t>
      </w:r>
      <w:r>
        <w:rPr>
          <w:rFonts w:hint="eastAsia" w:asciiTheme="minorEastAsia" w:hAnsiTheme="minorEastAsia" w:eastAsiaTheme="minorEastAsia"/>
          <w:szCs w:val="21"/>
        </w:rPr>
        <w:t>经出租方申请之日起3个工作日内将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方已交纳的首期租金、履约保证金、装修保证金等交易资金全部划转至出租方指定账户。</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、若我方成为承租方，我方已知悉并同意：本次标的物业管理费自起租日（含免租期在内）起由</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按租赁面积承担。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签署时，</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自行与现场物业管理公司签署物业管理协议并缴纳物业管理费。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、若我方成为承租方，我方已知悉并同意：本次招租标的涉及的租赁房屋属出租方所有，为出租状态。出租方保证租赁房屋产权无争议，可提供的租赁房屋的权属资料仅限：房产证/杭房权证西字第0006926号; 土地证/杭西国用（2010）字第012189号（地类用途：综合，使用权类型：出让）。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方应对房屋权属性质、用途和权属资料可能对后续经营开展、获取审批许可等可能的不利影响作充分了解和预判，包括不能获得既定开设审批、无法办理租赁备案证、无法作为工商登记地址等风险在内。</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本次标的涉及房屋均以现状出租（以实际交付时的现状为准）。出租方不再为该房屋及其设施设备的运营进行任何投入，对房屋现状存在的除主体结构之外的质量问题和使用瑕疵也已考虑进招租底价，出租方不再安排修复或作其他投入。</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方应在竞租之前，自行至该房屋进行充分的踏勘与了解。出租</w:t>
      </w:r>
      <w:r>
        <w:rPr>
          <w:rFonts w:hint="eastAsia" w:asciiTheme="minorEastAsia" w:hAnsiTheme="minorEastAsia" w:eastAsiaTheme="minorEastAsia"/>
          <w:szCs w:val="21"/>
          <w:lang w:val="en-US" w:eastAsia="zh-CN"/>
        </w:rPr>
        <w:t>方</w:t>
      </w:r>
      <w:r>
        <w:rPr>
          <w:rFonts w:hint="eastAsia" w:asciiTheme="minorEastAsia" w:hAnsiTheme="minorEastAsia" w:eastAsiaTheme="minorEastAsia"/>
          <w:szCs w:val="21"/>
        </w:rPr>
        <w:t>对房屋的介绍与评价均为参考意见，不构成担保性约束。</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、若我方成为承租方，我方已知悉并同意：出租方对租赁业态的要求仅系按照整体经营管理需求设定，不构成出租方对于租赁房屋可满足该业态的任何实质或预期承诺。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方对其经营所需取得的必要执照、批准或许可等相关登记及各项审批条件和规定应进行充分自核，并结合房屋信息充分预判。</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如本次标的涉及房屋及所属土地因社会公共利益或城市建设需要被政府依法征收的或出租方重新规划用途须提前收回该处房屋（部分房屋）的，我方须在通知之日起三个月内无条件退还该房屋，租金按实结算。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若我方成为承租方，我方已知悉并同意：房屋租赁相关的双方权利义务将以出租方提供的《房屋租赁合同》、《租赁房产安全生产及防疫管理协议书》（样本）为准。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方应在报名前详细阅读《房屋租赁合同》、《租赁房产安全生产及防疫管理协议书》（样本）所载条款，并确认对条款内容已全面理解无误。</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方参与竞租的行为将被视为已经全面阅读并准确理解全部竞租文件，已认真充分踏勘、了解该房屋现状、设施及房屋环境等现状信息，对有关经营风险也已作出应有的充分预判和决策，且愿意接受《房屋租赁合同》、《租赁房产安全生产及防疫管理协议书》的全部条款约束，承诺履行有关承租方义务，并承担风险和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若我方成为承租方，我方已知悉并同意：自“交付日”起，</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方为该租赁房屋租赁范围内安全管理、资产管理、防疫第一责任人，须履行第一责任义务，同时承担相应责任。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租金中不包含任何租赁过程中可能产生的使用费用，包括物业费、水费、电费、电话费、网络费等常规发生的使用费用，也不包括将来可能发生的政府有关部门征收的、与使用该房屋有关的税、费等。该等使用费用均将由</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自行承担。</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若我方成为承租方，我方已知悉并同意：本次租赁房屋的交付及出租方与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方权利义务具体以出租方提供的《房屋租赁合同》（样本）为准。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支付首年一个月租金计的交易服务费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w:t>
      </w:r>
      <w:r>
        <w:rPr>
          <w:rFonts w:hint="eastAsia" w:asciiTheme="minorEastAsia" w:hAnsiTheme="minorEastAsia" w:eastAsiaTheme="minorEastAsia"/>
          <w:szCs w:val="21"/>
          <w:lang w:val="en-US" w:eastAsia="zh-CN"/>
        </w:rPr>
        <w:t>其</w:t>
      </w:r>
      <w:r>
        <w:rPr>
          <w:rFonts w:hint="eastAsia" w:asciiTheme="minorEastAsia" w:hAnsiTheme="minorEastAsia" w:eastAsiaTheme="minorEastAsia"/>
          <w:szCs w:val="21"/>
        </w:rPr>
        <w:t>附件的或未按约定支付交易服务费、履约保证金、装修保证金、首期租金的；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17612B0"/>
    <w:rsid w:val="16BD1BA6"/>
    <w:rsid w:val="174D738C"/>
    <w:rsid w:val="19B122C7"/>
    <w:rsid w:val="19B324A8"/>
    <w:rsid w:val="19CF393C"/>
    <w:rsid w:val="1E14735D"/>
    <w:rsid w:val="1EFA488D"/>
    <w:rsid w:val="1F072A94"/>
    <w:rsid w:val="1FB34EAE"/>
    <w:rsid w:val="1FE75D9F"/>
    <w:rsid w:val="25526291"/>
    <w:rsid w:val="25B34C3E"/>
    <w:rsid w:val="2731534B"/>
    <w:rsid w:val="279515A0"/>
    <w:rsid w:val="28CD421D"/>
    <w:rsid w:val="29064147"/>
    <w:rsid w:val="2B224A23"/>
    <w:rsid w:val="2BD51F6B"/>
    <w:rsid w:val="2DE64B98"/>
    <w:rsid w:val="2E6953D9"/>
    <w:rsid w:val="35202E1B"/>
    <w:rsid w:val="382052E5"/>
    <w:rsid w:val="3AD83A40"/>
    <w:rsid w:val="3C2C4C6F"/>
    <w:rsid w:val="3C5A318A"/>
    <w:rsid w:val="3C940D63"/>
    <w:rsid w:val="3D4E2474"/>
    <w:rsid w:val="3DE10126"/>
    <w:rsid w:val="3EBF19DA"/>
    <w:rsid w:val="45F94112"/>
    <w:rsid w:val="494F753A"/>
    <w:rsid w:val="4AFF3DA7"/>
    <w:rsid w:val="4CC66179"/>
    <w:rsid w:val="4E0013D2"/>
    <w:rsid w:val="4FF45A58"/>
    <w:rsid w:val="51317EBA"/>
    <w:rsid w:val="54E742B4"/>
    <w:rsid w:val="563F5F26"/>
    <w:rsid w:val="56EE2F1F"/>
    <w:rsid w:val="584668FF"/>
    <w:rsid w:val="5DB959AE"/>
    <w:rsid w:val="5E0F1804"/>
    <w:rsid w:val="606A72C7"/>
    <w:rsid w:val="633A51EB"/>
    <w:rsid w:val="657C12B1"/>
    <w:rsid w:val="66AB1603"/>
    <w:rsid w:val="66F30663"/>
    <w:rsid w:val="6804343D"/>
    <w:rsid w:val="6A2F474B"/>
    <w:rsid w:val="6D1B0EA5"/>
    <w:rsid w:val="6D511A93"/>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11</TotalTime>
  <ScaleCrop>false</ScaleCrop>
  <LinksUpToDate>false</LinksUpToDate>
  <CharactersWithSpaces>1635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2023-06-13T07:23:33Z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