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Theme="minorEastAsia" w:hAnsiTheme="minorEastAsia" w:eastAsiaTheme="minorEastAsia"/>
          <w:szCs w:val="21"/>
          <w:u w:val="single"/>
        </w:rPr>
        <w:t>浙江龙翔大厦有限公司债权</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 xml:space="preserve"> HJS2022ZC</w:t>
      </w:r>
      <w:r>
        <w:rPr>
          <w:rFonts w:hint="eastAsia" w:asciiTheme="minorEastAsia" w:hAnsiTheme="minorEastAsia" w:eastAsiaTheme="minorEastAsia"/>
          <w:szCs w:val="21"/>
          <w:u w:val="single"/>
          <w:lang w:val="en-US" w:eastAsia="zh-CN"/>
        </w:rPr>
        <w:t>2217</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w:t>
      </w:r>
      <w:r>
        <w:rPr>
          <w:rFonts w:hint="eastAsia" w:asciiTheme="minorEastAsia" w:hAnsiTheme="minorEastAsia" w:eastAsiaTheme="minorEastAsia"/>
          <w:szCs w:val="21"/>
          <w:u w:val="single"/>
        </w:rPr>
        <w:t>转让</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widowControl/>
        <w:tabs>
          <w:tab w:val="left" w:pos="6975"/>
        </w:tabs>
        <w:spacing w:line="360" w:lineRule="auto"/>
        <w:ind w:firstLine="420" w:firstLineChars="200"/>
        <w:jc w:val="left"/>
        <w:rPr>
          <w:rFonts w:hint="eastAsia"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val="en-US" w:eastAsia="zh-CN"/>
        </w:rPr>
        <w:t>我方已知悉浙江龙翔大厦有限公司债权本金、利息、费用、担保情况及诉讼情况详见转让方提供的《中国银河资产管理有限责任公司债权信息》</w:t>
      </w:r>
      <w:r>
        <w:rPr>
          <w:rFonts w:hint="eastAsia" w:asciiTheme="minorEastAsia" w:hAnsiTheme="minorEastAsia"/>
          <w:szCs w:val="21"/>
        </w:rPr>
        <w:t>。关于</w:t>
      </w:r>
      <w:r>
        <w:rPr>
          <w:rFonts w:hint="eastAsia" w:asciiTheme="minorEastAsia" w:hAnsiTheme="minorEastAsia"/>
          <w:szCs w:val="21"/>
          <w:lang w:val="en-US" w:eastAsia="zh-CN"/>
        </w:rPr>
        <w:t>浙江龙翔大厦有限公司债权</w:t>
      </w:r>
      <w:r>
        <w:rPr>
          <w:rFonts w:hint="eastAsia" w:asciiTheme="minorEastAsia" w:hAnsiTheme="minorEastAsia"/>
          <w:szCs w:val="21"/>
          <w:lang w:val="zh-CN"/>
        </w:rPr>
        <w:t>的具体情况，需意向受让方自行尽调并进行价值判断，转让方及杭交所对未披露事宜不承担相关责任和风险</w:t>
      </w:r>
      <w:r>
        <w:rPr>
          <w:rFonts w:hint="eastAsia" w:asciiTheme="minorEastAsia" w:hAnsiTheme="minorEastAsia"/>
          <w:szCs w:val="21"/>
        </w:rPr>
        <w:t>。</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成交通知书》、交易记录及相关合同文件，并按照转让方要求5个工作日内与转让方完成确认和签署《资产转让协议》</w:t>
      </w:r>
      <w:r>
        <w:rPr>
          <w:rFonts w:hint="eastAsia" w:asciiTheme="minorEastAsia" w:hAnsiTheme="minorEastAsia" w:eastAsiaTheme="minorEastAsia"/>
          <w:szCs w:val="21"/>
          <w:lang w:eastAsia="zh-CN"/>
        </w:rPr>
        <w:t>。</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5、我方同意除保证金金额以外的剩余交易价款由转让方和受让方自行结算，由受让方按照《资产转让协议》约定向转让方指定账户（账户：中国银河资产管理有限责任公司 账号：11001058900059977777 开户行：建行北京兴融支行），详见《资产转让协议》具体约定。</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6、我方同意杭交所在经转让方申请之日起3个工作日内将受让方已交纳的交易保证金全部划转至转让方指定账户（账户：中国银河资产管理有限责任公司 账号：11001058900059977777 开户行：建行北京兴融支行）。</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7、我方对拟受让债权（包括所涉的诉讼、执行等情况）进行了充分的调查与了解，并对拟受让债权的保证情况均做了充分了解并知情，愿意按现状受让该债权，知悉并接受所有可能的瑕疵、风险。</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我方同意对照本债权转让信息披露公告所列的受让方资格条件，已对自身的资格条件进行核查，符合本项目受让方的主体资格条件，且与债务企业无任何关联关系，决定申请受让本标的，并自行承担本项目受让不能的全部后果，包括费用、风险和损失等。</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9、我方承诺我方具有良好的财务状况和支付能力。</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已知悉根据《金融资产管理公司资产处置管理办法(修订)》的规定，信息披露期满后，产生一个符合条件的意向受让方应当补登公告的，杭交所按照信息披露公告的内容延长公告时间，公告时间为7个工作日。如确定没有新的符合条件的意向受让方参与受让，该意向受让方为受让方，其在报名时作出的有效报价为成交价；如产生新的符合条件的意向受让方，采用在线报价方式确定受让方。</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我方承诺将以不低于报名时递交的报价书的价格在</w:t>
      </w:r>
      <w:r>
        <w:rPr>
          <w:rFonts w:hint="default"/>
        </w:rPr>
        <w:t>杭交所旗下产金所网站（</w:t>
      </w:r>
      <w:r>
        <w:rPr>
          <w:rFonts w:hint="default"/>
        </w:rPr>
        <w:fldChar w:fldCharType="begin"/>
      </w:r>
      <w:r>
        <w:rPr>
          <w:rFonts w:hint="default"/>
        </w:rPr>
        <w:instrText xml:space="preserve"> HYPERLINK "https://www.hzaee.com/www.chanjs.com" </w:instrText>
      </w:r>
      <w:r>
        <w:rPr>
          <w:rFonts w:hint="default"/>
        </w:rPr>
        <w:fldChar w:fldCharType="separate"/>
      </w:r>
      <w:r>
        <w:rPr>
          <w:rFonts w:hint="default"/>
        </w:rPr>
        <w:t>www.chanjs.com</w:t>
      </w:r>
      <w:r>
        <w:rPr>
          <w:rFonts w:hint="default"/>
        </w:rPr>
        <w:fldChar w:fldCharType="end"/>
      </w:r>
      <w:r>
        <w:rPr>
          <w:rFonts w:hint="default"/>
        </w:rPr>
        <w:t>）</w:t>
      </w:r>
      <w:r>
        <w:rPr>
          <w:rFonts w:hint="eastAsia"/>
          <w:lang w:val="en-US" w:eastAsia="zh-CN"/>
        </w:rPr>
        <w:t>进行报价。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11、我方同意本项目受让方须交纳成交金额0.1 %的交易服务费。</w:t>
      </w:r>
      <w:bookmarkStart w:id="0" w:name="_GoBack"/>
      <w:bookmarkEnd w:id="0"/>
      <w:r>
        <w:rPr>
          <w:rFonts w:hint="eastAsia" w:asciiTheme="minorEastAsia" w:hAnsiTheme="minorEastAsia" w:eastAsiaTheme="minorEastAsia"/>
          <w:szCs w:val="21"/>
          <w:lang w:val="en-US" w:eastAsia="zh-CN"/>
        </w:rPr>
        <w:t>受让方须自 《成交通知书》 签署次日起5个工作日内向杭交所指定账户支付交易服务费。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的服务费，剩余部分作为对转让方的经济补偿金，保证金不足以补偿的，相关方有权按照实际损失继续追诉：</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意向受让方提交受让申请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并交纳交易保证金后单方撤回受让申请的；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为受让方后未按约定签署《</w:t>
      </w:r>
      <w:r>
        <w:rPr>
          <w:rFonts w:hint="eastAsia" w:asciiTheme="minorEastAsia" w:hAnsiTheme="minorEastAsia" w:eastAsiaTheme="minorEastAsia"/>
          <w:szCs w:val="21"/>
        </w:rPr>
        <w:t>资产转让协议</w:t>
      </w:r>
      <w:r>
        <w:rPr>
          <w:rFonts w:asciiTheme="minorEastAsia" w:hAnsiTheme="minorEastAsia" w:eastAsiaTheme="minorEastAsia"/>
          <w:szCs w:val="21"/>
        </w:rPr>
        <w:t>》的或未按约定支付</w:t>
      </w:r>
      <w:r>
        <w:rPr>
          <w:rFonts w:hint="eastAsia" w:asciiTheme="minorEastAsia" w:hAnsiTheme="minorEastAsia" w:eastAsiaTheme="minorEastAsia"/>
          <w:szCs w:val="21"/>
        </w:rPr>
        <w:t>交易服务费、</w:t>
      </w:r>
      <w:r>
        <w:rPr>
          <w:rFonts w:asciiTheme="minorEastAsia" w:hAnsiTheme="minorEastAsia" w:eastAsiaTheme="minorEastAsia"/>
          <w:szCs w:val="21"/>
        </w:rPr>
        <w:t>交易价款的；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意向受让方未履行书面承诺事项的；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02743"/>
    <w:rsid w:val="000119B9"/>
    <w:rsid w:val="0003337E"/>
    <w:rsid w:val="000D2E12"/>
    <w:rsid w:val="000F4BB9"/>
    <w:rsid w:val="00143D8A"/>
    <w:rsid w:val="001471DC"/>
    <w:rsid w:val="001B6DAD"/>
    <w:rsid w:val="0020310B"/>
    <w:rsid w:val="002278BB"/>
    <w:rsid w:val="002524C5"/>
    <w:rsid w:val="002526A0"/>
    <w:rsid w:val="00255411"/>
    <w:rsid w:val="00274544"/>
    <w:rsid w:val="002C459B"/>
    <w:rsid w:val="003229C2"/>
    <w:rsid w:val="00347F74"/>
    <w:rsid w:val="003A2F6F"/>
    <w:rsid w:val="003B02F1"/>
    <w:rsid w:val="003D5E8E"/>
    <w:rsid w:val="003E079C"/>
    <w:rsid w:val="00413930"/>
    <w:rsid w:val="00430675"/>
    <w:rsid w:val="004B3532"/>
    <w:rsid w:val="004C246D"/>
    <w:rsid w:val="004D1B74"/>
    <w:rsid w:val="004E1479"/>
    <w:rsid w:val="004E3107"/>
    <w:rsid w:val="004F3BEF"/>
    <w:rsid w:val="00503879"/>
    <w:rsid w:val="00532E43"/>
    <w:rsid w:val="0055051A"/>
    <w:rsid w:val="005E452C"/>
    <w:rsid w:val="00627BE3"/>
    <w:rsid w:val="00662215"/>
    <w:rsid w:val="006F12F9"/>
    <w:rsid w:val="00737286"/>
    <w:rsid w:val="007847DD"/>
    <w:rsid w:val="00790D21"/>
    <w:rsid w:val="007E4EDD"/>
    <w:rsid w:val="00810B54"/>
    <w:rsid w:val="0084282E"/>
    <w:rsid w:val="00884F8A"/>
    <w:rsid w:val="008B6630"/>
    <w:rsid w:val="008D6F00"/>
    <w:rsid w:val="008D72E8"/>
    <w:rsid w:val="00906FAC"/>
    <w:rsid w:val="009264FF"/>
    <w:rsid w:val="009343C9"/>
    <w:rsid w:val="00934A3A"/>
    <w:rsid w:val="00936428"/>
    <w:rsid w:val="009568E9"/>
    <w:rsid w:val="0096235F"/>
    <w:rsid w:val="009702DB"/>
    <w:rsid w:val="009733B3"/>
    <w:rsid w:val="00985F46"/>
    <w:rsid w:val="00995BD3"/>
    <w:rsid w:val="009A0633"/>
    <w:rsid w:val="009A39B8"/>
    <w:rsid w:val="009A637C"/>
    <w:rsid w:val="009B1657"/>
    <w:rsid w:val="009F646A"/>
    <w:rsid w:val="00A0751C"/>
    <w:rsid w:val="00A11F15"/>
    <w:rsid w:val="00A24DD0"/>
    <w:rsid w:val="00A3579B"/>
    <w:rsid w:val="00A51B20"/>
    <w:rsid w:val="00A535FF"/>
    <w:rsid w:val="00A53E81"/>
    <w:rsid w:val="00A662FA"/>
    <w:rsid w:val="00A96775"/>
    <w:rsid w:val="00AA4243"/>
    <w:rsid w:val="00AF7180"/>
    <w:rsid w:val="00AF77C7"/>
    <w:rsid w:val="00B15A11"/>
    <w:rsid w:val="00B170BB"/>
    <w:rsid w:val="00B22D75"/>
    <w:rsid w:val="00B36433"/>
    <w:rsid w:val="00B50F83"/>
    <w:rsid w:val="00B902EB"/>
    <w:rsid w:val="00B91182"/>
    <w:rsid w:val="00B923AA"/>
    <w:rsid w:val="00BE797D"/>
    <w:rsid w:val="00BF6F97"/>
    <w:rsid w:val="00C02F3D"/>
    <w:rsid w:val="00C07B7D"/>
    <w:rsid w:val="00C2125E"/>
    <w:rsid w:val="00C300A5"/>
    <w:rsid w:val="00C726A1"/>
    <w:rsid w:val="00C80243"/>
    <w:rsid w:val="00C85BC7"/>
    <w:rsid w:val="00C90BE8"/>
    <w:rsid w:val="00CB5B8C"/>
    <w:rsid w:val="00D56D57"/>
    <w:rsid w:val="00DB119D"/>
    <w:rsid w:val="00DB69D2"/>
    <w:rsid w:val="00DD7C6E"/>
    <w:rsid w:val="00E00E55"/>
    <w:rsid w:val="00E05D91"/>
    <w:rsid w:val="00E252EE"/>
    <w:rsid w:val="00E414F8"/>
    <w:rsid w:val="00E45FDC"/>
    <w:rsid w:val="00E60BD5"/>
    <w:rsid w:val="00E65ED2"/>
    <w:rsid w:val="00EC2692"/>
    <w:rsid w:val="00ED081A"/>
    <w:rsid w:val="00ED4E9F"/>
    <w:rsid w:val="00ED5698"/>
    <w:rsid w:val="00EF62AF"/>
    <w:rsid w:val="00F06BEC"/>
    <w:rsid w:val="00F47654"/>
    <w:rsid w:val="00F94CD4"/>
    <w:rsid w:val="00FA0343"/>
    <w:rsid w:val="00FA6AB7"/>
    <w:rsid w:val="00FD542B"/>
    <w:rsid w:val="08816750"/>
    <w:rsid w:val="0DE7639F"/>
    <w:rsid w:val="1152096D"/>
    <w:rsid w:val="13D239C3"/>
    <w:rsid w:val="14F90FC3"/>
    <w:rsid w:val="16656F99"/>
    <w:rsid w:val="16E418A6"/>
    <w:rsid w:val="198A3A0F"/>
    <w:rsid w:val="1D0621B7"/>
    <w:rsid w:val="1DFC2928"/>
    <w:rsid w:val="1F1C42F8"/>
    <w:rsid w:val="2B984EBD"/>
    <w:rsid w:val="2DFC2C39"/>
    <w:rsid w:val="2FA23275"/>
    <w:rsid w:val="31F070E9"/>
    <w:rsid w:val="35772735"/>
    <w:rsid w:val="35C90AA6"/>
    <w:rsid w:val="37747198"/>
    <w:rsid w:val="3BC83A62"/>
    <w:rsid w:val="3E034195"/>
    <w:rsid w:val="48D50828"/>
    <w:rsid w:val="4AC50577"/>
    <w:rsid w:val="4DF23F23"/>
    <w:rsid w:val="4E71626D"/>
    <w:rsid w:val="5980682C"/>
    <w:rsid w:val="61C34525"/>
    <w:rsid w:val="635577D8"/>
    <w:rsid w:val="65712EF0"/>
    <w:rsid w:val="671153AF"/>
    <w:rsid w:val="671243A7"/>
    <w:rsid w:val="6A1C5DAF"/>
    <w:rsid w:val="6BA800D1"/>
    <w:rsid w:val="6BC42018"/>
    <w:rsid w:val="73A15141"/>
    <w:rsid w:val="77CD3F88"/>
    <w:rsid w:val="7FC50622"/>
    <w:rsid w:val="7FFE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semiHidden/>
    <w:unhideWhenUsed/>
    <w:qFormat/>
    <w:uiPriority w:val="99"/>
    <w:pPr>
      <w:tabs>
        <w:tab w:val="center" w:pos="4153"/>
        <w:tab w:val="right" w:pos="8306"/>
      </w:tabs>
      <w:snapToGrid w:val="0"/>
      <w:jc w:val="left"/>
    </w:pPr>
    <w:rPr>
      <w:sz w:val="18"/>
      <w:szCs w:val="18"/>
    </w:rPr>
  </w:style>
  <w:style w:type="paragraph" w:styleId="3">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color w:val="606266"/>
      <w:bdr w:val="single" w:color="DCDFE6" w:sz="6" w:space="0"/>
      <w:shd w:val="clear" w:fill="FFFFFF"/>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hint="default" w:ascii="monospace" w:hAnsi="monospace" w:eastAsia="monospace" w:cs="monospace"/>
      <w:sz w:val="21"/>
      <w:szCs w:val="21"/>
    </w:rPr>
  </w:style>
  <w:style w:type="character" w:styleId="13">
    <w:name w:val="HTML Sample"/>
    <w:basedOn w:val="6"/>
    <w:semiHidden/>
    <w:unhideWhenUsed/>
    <w:qFormat/>
    <w:uiPriority w:val="99"/>
    <w:rPr>
      <w:rFonts w:ascii="monospace" w:hAnsi="monospace" w:eastAsia="monospace" w:cs="monospace"/>
      <w:sz w:val="21"/>
      <w:szCs w:val="21"/>
    </w:rPr>
  </w:style>
  <w:style w:type="character" w:customStyle="1" w:styleId="14">
    <w:name w:val="页眉 Char"/>
    <w:basedOn w:val="6"/>
    <w:link w:val="3"/>
    <w:semiHidden/>
    <w:qFormat/>
    <w:uiPriority w:val="99"/>
    <w:rPr>
      <w:rFonts w:ascii="Times New Roman" w:hAnsi="Times New Roman" w:eastAsia="宋体" w:cs="Times New Roman"/>
      <w:sz w:val="18"/>
      <w:szCs w:val="18"/>
    </w:rPr>
  </w:style>
  <w:style w:type="character" w:customStyle="1" w:styleId="15">
    <w:name w:val="页脚 Char"/>
    <w:basedOn w:val="6"/>
    <w:link w:val="2"/>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1163</Characters>
  <Lines>9</Lines>
  <Paragraphs>2</Paragraphs>
  <TotalTime>0</TotalTime>
  <ScaleCrop>false</ScaleCrop>
  <LinksUpToDate>false</LinksUpToDate>
  <CharactersWithSpaces>1365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2022-04-29T05:59:00Z</cp:lastPrinted>
  <dcterms:modified xsi:type="dcterms:W3CDTF">2022-12-15T06:22:09Z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23D65D02958E4ED9AFE08ACE253FE249</vt:lpwstr>
  </property>
</Properties>
</file>