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sz w:val="22"/>
          <w:u w:val="single"/>
        </w:rPr>
        <w:t>杭州市北山街94-95号穗庐5年租赁权（标的编号：HJS202</w:t>
      </w:r>
      <w:r>
        <w:rPr>
          <w:rFonts w:hint="eastAsia" w:ascii="宋体" w:hAnsi="宋体"/>
          <w:b/>
          <w:sz w:val="22"/>
          <w:u w:val="single"/>
          <w:lang w:val="en-US" w:eastAsia="zh-CN"/>
        </w:rPr>
        <w:t>2</w:t>
      </w:r>
      <w:r>
        <w:rPr>
          <w:rFonts w:hint="eastAsia" w:ascii="宋体" w:hAnsi="宋体"/>
          <w:b/>
          <w:sz w:val="22"/>
          <w:u w:val="single"/>
        </w:rPr>
        <w:t>ZL</w:t>
      </w:r>
      <w:r>
        <w:rPr>
          <w:rFonts w:hint="eastAsia" w:ascii="宋体" w:hAnsi="宋体"/>
          <w:b/>
          <w:sz w:val="22"/>
          <w:u w:val="single"/>
          <w:lang w:val="en-US" w:eastAsia="zh-CN"/>
        </w:rPr>
        <w:t>1978)</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bookmarkStart w:id="0" w:name="_GoBack"/>
      <w:bookmarkEnd w:id="0"/>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eastAsia="宋体" w:cs="Times New Roman" w:asciiTheme="minorEastAsia" w:hAnsiTheme="minorEastAsia"/>
          <w:szCs w:val="21"/>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3、同意在被确定为承租方之日起3个工作日内，携带承租申请材料原件到杭交所完成现场确认并签署《成交通知书》；并在《成交通知书》签署之日起7个工作日内向杭交所指定账户一次性支付首期</w:t>
      </w:r>
      <w:r>
        <w:rPr>
          <w:rFonts w:hint="eastAsia" w:cs="Times New Roman" w:asciiTheme="minorEastAsia" w:hAnsiTheme="minorEastAsia"/>
          <w:szCs w:val="21"/>
          <w:lang w:eastAsia="zh-CN"/>
        </w:rPr>
        <w:t>租赁使用费</w:t>
      </w:r>
      <w:r>
        <w:rPr>
          <w:rFonts w:hint="eastAsia" w:eastAsia="宋体" w:cs="Times New Roman" w:asciiTheme="minorEastAsia" w:hAnsiTheme="minorEastAsia"/>
          <w:szCs w:val="21"/>
        </w:rPr>
        <w:t>、履约保证金、税收保证金及交易服务费等交易资金（以到账时间为准）。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eastAsia="宋体" w:cs="Times New Roman" w:asciiTheme="minorEastAsia" w:hAnsiTheme="minorEastAsia"/>
          <w:szCs w:val="21"/>
          <w:lang w:val="en-US" w:eastAsia="zh-CN"/>
        </w:rPr>
      </w:pPr>
      <w:r>
        <w:rPr>
          <w:rFonts w:hint="eastAsia" w:cs="Times New Roman" w:asciiTheme="minorEastAsia" w:hAnsiTheme="minorEastAsia"/>
          <w:szCs w:val="21"/>
          <w:lang w:val="en-US" w:eastAsia="zh-CN"/>
        </w:rPr>
        <w:t>4、同意在出租方通知的时间内与各物业产权单位签署《房屋租赁合同》及附件等交易合同。</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5</w:t>
      </w:r>
      <w:r>
        <w:rPr>
          <w:rFonts w:hint="eastAsia" w:asciiTheme="minorEastAsia" w:hAnsiTheme="minorEastAsia"/>
          <w:szCs w:val="21"/>
        </w:rPr>
        <w:t>、同意杭交所在经出租方申请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日起3个工作日内将承租方已交纳的交易价款全部划转至出租方指定账户。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6、我方知悉并承诺租赁房屋用于</w:t>
      </w:r>
      <w:r>
        <w:rPr>
          <w:rFonts w:hint="eastAsia" w:asciiTheme="minorEastAsia" w:hAnsiTheme="minorEastAsia"/>
          <w:szCs w:val="21"/>
          <w:u w:val="single"/>
          <w:lang w:val="en-US" w:eastAsia="zh-CN"/>
        </w:rPr>
        <w:t xml:space="preserve">                 ，</w:t>
      </w:r>
      <w:r>
        <w:rPr>
          <w:rFonts w:hint="eastAsia" w:asciiTheme="minorEastAsia" w:hAnsiTheme="minorEastAsia"/>
          <w:szCs w:val="21"/>
          <w:lang w:val="en-US" w:eastAsia="zh-CN"/>
        </w:rPr>
        <w:t>承诺遵守出租方相关规定，不会从事本承诺业态之外的经营活动，并遵守西湖西溪景区会所监管制度，经营业态必须做到大众化、可进入、可消费，若在后期经营中需改变经营业态，须向相关部门审核批准方可改变。</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7、</w:t>
      </w:r>
      <w:r>
        <w:rPr>
          <w:rFonts w:hint="eastAsia" w:ascii="pingfang sc regular" w:hAnsi="pingfang sc regular"/>
        </w:rPr>
        <w:t>我方知悉并承诺：</w:t>
      </w:r>
      <w:r>
        <w:rPr>
          <w:rFonts w:hint="eastAsia" w:ascii="pingfang sc regular" w:hAnsi="pingfang sc regular"/>
          <w:lang w:val="en-US" w:eastAsia="zh-CN"/>
        </w:rPr>
        <w:t>租赁期内，因不可抗力、城市规划建设发展需要，改造、拆迁承租方租赁的房屋，致使不能继续履行或造成损失，出租方承租方双方互不承担责任、互不赔偿对方损失。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Theme="minorEastAsia" w:hAnsiTheme="minorEastAsia"/>
          <w:szCs w:val="21"/>
          <w:lang w:val="en-US" w:eastAsia="zh-CN"/>
        </w:rPr>
        <w:t>8、租赁房屋若有超租赁面积搭建部分，搭建部分不在本次租赁范围内，以现场展示为准。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9、</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：租赁期内，水电费、物业费等因使用租赁房屋产生的一切费用均由承租方自行承担。租赁期间承租方将水电费、网络、电话费等相关费用自行缴纳给相应单位。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pingfang sc regular" w:hAnsi="pingfang sc regular"/>
        </w:rPr>
      </w:pPr>
      <w:r>
        <w:rPr>
          <w:rFonts w:hint="eastAsia" w:asciiTheme="minorEastAsia" w:hAnsiTheme="minorEastAsia"/>
          <w:szCs w:val="21"/>
          <w:lang w:val="en-US" w:eastAsia="zh-CN"/>
        </w:rPr>
        <w:t>10、</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：知悉并同意本租赁房屋的</w:t>
      </w:r>
      <w:r>
        <w:rPr>
          <w:rFonts w:hint="eastAsia" w:asciiTheme="minorEastAsia" w:hAnsiTheme="minorEastAsia"/>
          <w:szCs w:val="21"/>
          <w:highlight w:val="none"/>
        </w:rPr>
        <w:t>税收要求</w:t>
      </w:r>
      <w:r>
        <w:rPr>
          <w:rFonts w:hint="eastAsia" w:asciiTheme="minorEastAsia" w:hAnsiTheme="minorEastAsia"/>
          <w:szCs w:val="21"/>
        </w:rPr>
        <w:t>为</w:t>
      </w:r>
      <w:r>
        <w:rPr>
          <w:rFonts w:hint="eastAsia" w:asciiTheme="minorEastAsia" w:hAnsiTheme="minorEastAsia"/>
          <w:szCs w:val="21"/>
          <w:u w:val="single"/>
          <w:lang w:val="en-US" w:eastAsia="zh-CN"/>
        </w:rPr>
        <w:t>2000</w:t>
      </w:r>
      <w:r>
        <w:rPr>
          <w:rFonts w:hint="eastAsia" w:asciiTheme="minorEastAsia" w:hAnsiTheme="minorEastAsia"/>
          <w:szCs w:val="21"/>
        </w:rPr>
        <w:t>万元/年，并按照签署的《创税目标确认和承诺书》完成承诺的税收缴纳义务。</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11、我方知悉并承诺：出租方与承租方的权利义务及租赁房屋交付详见《房屋租赁合同》及附件等交易合同。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pingfang sc regular" w:hAnsi="pingfang sc regular"/>
          <w:b/>
          <w:bCs/>
        </w:rPr>
      </w:pPr>
      <w:r>
        <w:rPr>
          <w:rFonts w:hint="eastAsia" w:ascii="pingfang sc regular" w:hAnsi="pingfang sc regular"/>
          <w:lang w:val="en-US" w:eastAsia="zh-CN"/>
        </w:rPr>
        <w:t>12</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pingfang sc regular" w:hAnsi="pingfang sc regular"/>
        </w:rPr>
      </w:pPr>
      <w:r>
        <w:rPr>
          <w:rFonts w:hint="eastAsia" w:ascii="pingfang sc regular" w:hAnsi="pingfang sc regular"/>
        </w:rPr>
        <w:t>（1）本次租赁房屋成交溢价率达到5%的，承租方须交纳按首年（12个月）年</w:t>
      </w:r>
      <w:r>
        <w:rPr>
          <w:rFonts w:hint="eastAsia" w:ascii="pingfang sc regular" w:hAnsi="pingfang sc regular"/>
          <w:lang w:eastAsia="zh-CN"/>
        </w:rPr>
        <w:t>租赁使用费</w:t>
      </w:r>
      <w:r>
        <w:rPr>
          <w:rFonts w:hint="eastAsia" w:ascii="pingfang sc regular" w:hAnsi="pingfang sc regular"/>
        </w:rPr>
        <w:t>成交价的6%计收的交易服务费。</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pingfang sc regular" w:hAnsi="pingfang sc regular" w:eastAsiaTheme="minorEastAsia"/>
          <w:b/>
          <w:bCs/>
          <w:szCs w:val="21"/>
        </w:rPr>
      </w:pPr>
      <w:r>
        <w:rPr>
          <w:rFonts w:hint="eastAsia" w:ascii="pingfang sc regular" w:hAnsi="pingfang sc regular"/>
        </w:rPr>
        <w:t>（2）本次租赁房屋成交溢价率未达到5%的，承租方须交纳按首年（12个月）的半个月</w:t>
      </w:r>
      <w:r>
        <w:rPr>
          <w:rFonts w:hint="eastAsia" w:ascii="pingfang sc regular" w:hAnsi="pingfang sc regular"/>
          <w:lang w:eastAsia="zh-CN"/>
        </w:rPr>
        <w:t>租赁使用费</w:t>
      </w:r>
      <w:r>
        <w:rPr>
          <w:rFonts w:hint="eastAsia" w:ascii="pingfang sc regular" w:hAnsi="pingfang sc regular"/>
        </w:rPr>
        <w:t>计收的交易服务费。</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13、若非出租方原因，出现以下任一情况时，意向承租方交纳的保证金不予退还，先用于补偿杭交所各项服务费，剩余部分作为对出租方的经济补偿金，保证金不足以补偿的，相关方有权按照实际损失继续追诉：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（3）在被确定为承租方后未按约定签署《房屋租赁合同》的或未按约定支付首期租赁使用费、履约保证金、税收保证金及交易服务费等的；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7C1F64"/>
    <w:rsid w:val="023D0311"/>
    <w:rsid w:val="02460EB6"/>
    <w:rsid w:val="050C0145"/>
    <w:rsid w:val="05863E40"/>
    <w:rsid w:val="07254E86"/>
    <w:rsid w:val="0BFF7D01"/>
    <w:rsid w:val="0EC1241E"/>
    <w:rsid w:val="0EE44A0D"/>
    <w:rsid w:val="0F15442C"/>
    <w:rsid w:val="101427AF"/>
    <w:rsid w:val="10702934"/>
    <w:rsid w:val="1123401A"/>
    <w:rsid w:val="11BF771C"/>
    <w:rsid w:val="11F61B86"/>
    <w:rsid w:val="146B779E"/>
    <w:rsid w:val="155B0D1A"/>
    <w:rsid w:val="19BE26FF"/>
    <w:rsid w:val="1CAF1531"/>
    <w:rsid w:val="1ED35AA3"/>
    <w:rsid w:val="1FBA251E"/>
    <w:rsid w:val="20CD258B"/>
    <w:rsid w:val="218A23E0"/>
    <w:rsid w:val="22BF195E"/>
    <w:rsid w:val="24CD5D6E"/>
    <w:rsid w:val="25355EE5"/>
    <w:rsid w:val="26811F3C"/>
    <w:rsid w:val="26876BBB"/>
    <w:rsid w:val="26D040D5"/>
    <w:rsid w:val="27AD2B7E"/>
    <w:rsid w:val="289F5356"/>
    <w:rsid w:val="29012A40"/>
    <w:rsid w:val="29045BA7"/>
    <w:rsid w:val="2A595C53"/>
    <w:rsid w:val="2B825398"/>
    <w:rsid w:val="2BBC65BB"/>
    <w:rsid w:val="2C733ADE"/>
    <w:rsid w:val="2DE25660"/>
    <w:rsid w:val="2EDF16DA"/>
    <w:rsid w:val="3099405C"/>
    <w:rsid w:val="30B720C3"/>
    <w:rsid w:val="34001013"/>
    <w:rsid w:val="350D2195"/>
    <w:rsid w:val="3537342B"/>
    <w:rsid w:val="35A31D2D"/>
    <w:rsid w:val="38557258"/>
    <w:rsid w:val="397F11DB"/>
    <w:rsid w:val="3998098F"/>
    <w:rsid w:val="3998390E"/>
    <w:rsid w:val="399C1A61"/>
    <w:rsid w:val="39A8199F"/>
    <w:rsid w:val="39B851B0"/>
    <w:rsid w:val="3C67604A"/>
    <w:rsid w:val="3CA4327A"/>
    <w:rsid w:val="3CB07498"/>
    <w:rsid w:val="3E3B4F9A"/>
    <w:rsid w:val="3E3E1A84"/>
    <w:rsid w:val="3E944C68"/>
    <w:rsid w:val="3E9829CD"/>
    <w:rsid w:val="3F645A79"/>
    <w:rsid w:val="42367D7B"/>
    <w:rsid w:val="424119CC"/>
    <w:rsid w:val="433B6BC1"/>
    <w:rsid w:val="444927AE"/>
    <w:rsid w:val="4901196F"/>
    <w:rsid w:val="494E3A6B"/>
    <w:rsid w:val="49685C71"/>
    <w:rsid w:val="49995E13"/>
    <w:rsid w:val="4AFA7355"/>
    <w:rsid w:val="4C876474"/>
    <w:rsid w:val="4CD62F56"/>
    <w:rsid w:val="4D1E7FB4"/>
    <w:rsid w:val="4D8A3E08"/>
    <w:rsid w:val="4E2216E2"/>
    <w:rsid w:val="4E7D3598"/>
    <w:rsid w:val="4E9304B5"/>
    <w:rsid w:val="4E9422C0"/>
    <w:rsid w:val="4F2649A4"/>
    <w:rsid w:val="509D38E8"/>
    <w:rsid w:val="5291552B"/>
    <w:rsid w:val="529A73B4"/>
    <w:rsid w:val="52A90E2E"/>
    <w:rsid w:val="536E1390"/>
    <w:rsid w:val="564F1F29"/>
    <w:rsid w:val="5F80395A"/>
    <w:rsid w:val="61E079A8"/>
    <w:rsid w:val="62F7145E"/>
    <w:rsid w:val="643477F7"/>
    <w:rsid w:val="645C47F1"/>
    <w:rsid w:val="65FD32F5"/>
    <w:rsid w:val="666B305D"/>
    <w:rsid w:val="66EF7CE1"/>
    <w:rsid w:val="66F07B90"/>
    <w:rsid w:val="675526CD"/>
    <w:rsid w:val="67DD46EA"/>
    <w:rsid w:val="68BD0463"/>
    <w:rsid w:val="694A61CA"/>
    <w:rsid w:val="6B992453"/>
    <w:rsid w:val="6C2E359C"/>
    <w:rsid w:val="6C522B1E"/>
    <w:rsid w:val="6D174484"/>
    <w:rsid w:val="6DA23AD1"/>
    <w:rsid w:val="6DCB29CC"/>
    <w:rsid w:val="7045300B"/>
    <w:rsid w:val="70633431"/>
    <w:rsid w:val="708874D4"/>
    <w:rsid w:val="70B93622"/>
    <w:rsid w:val="70D12FC7"/>
    <w:rsid w:val="70D56746"/>
    <w:rsid w:val="728F0602"/>
    <w:rsid w:val="75313A1C"/>
    <w:rsid w:val="7A110C7A"/>
    <w:rsid w:val="7ACC169B"/>
    <w:rsid w:val="7EB1680C"/>
    <w:rsid w:val="7FA34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10</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2022-11-18T11:07:22Z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AF57E90C3A1649A093F42237829C143B</vt:lpwstr>
  </property>
</Properties>
</file>