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rPr>
        <w:t>龙舌嘴游客服务中心7号点南、北小木屋2年租赁权</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HJS2021ZL1668</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lang w:eastAsia="zh-CN"/>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次日起3个工作日内签署《成交通知书》、《杭州西溪国家湿地公园旅游配套物业租赁合同》、《物业租赁安全管理责任书》、《物业（装修）消防安全责任书》；并在《成交通知书》、《杭州西溪国家湿地公园旅游配套物业租赁合同》签署次日起7日内向出租方指定账户一次性支付履约保证金、首年租金等交易资金（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4、同意承租方已付的交易保证金直接转为交易服务费，剩余部分由杭交所凭出租方出具的租金发票等相应凭证退还至承租方指定账户。</w:t>
      </w:r>
    </w:p>
    <w:p>
      <w:pPr>
        <w:spacing w:line="360" w:lineRule="auto"/>
        <w:ind w:firstLine="420" w:firstLineChars="200"/>
        <w:rPr>
          <w:rFonts w:hint="eastAsia" w:ascii="pingfang sc regular" w:hAnsi="pingfang sc regular" w:eastAsia="宋体" w:cs="Times New Roman"/>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知悉并承诺：承租方明确知悉并接受房屋的租赁用途、产权情况等情况。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）我方知悉并承诺： 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）我方知悉并承诺：租赁期间，承租方如欲将该租赁房屋转租、转借或调换给第三方使用，必须事先征得出租方的书面同意；否则即为承租方违约。</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我方知悉并承诺：承租方与出租方的权利义务以出租方提供的《杭州西溪国家湿地公园旅游配套物业租赁合同》为准。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6、同意按照如下标准交纳交易服务费：各年租金累计在800万元以下，交易服务费按各年租金累计额的2%计取。各年租金累计在800万元以上，交易服务费按各年租金累计额的1.5%计取。</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方提交</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申请并交纳交易保证金后单方撤回</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方后，各意向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《杭州西溪国家湿地公园旅游配套物业租赁合同》</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5474BCA"/>
    <w:rsid w:val="10346095"/>
    <w:rsid w:val="15B80C26"/>
    <w:rsid w:val="18AB29E5"/>
    <w:rsid w:val="2164102D"/>
    <w:rsid w:val="22EF036A"/>
    <w:rsid w:val="258432D6"/>
    <w:rsid w:val="25D72BEF"/>
    <w:rsid w:val="261B6EAF"/>
    <w:rsid w:val="29831BA4"/>
    <w:rsid w:val="2A7E3585"/>
    <w:rsid w:val="2C5B5AFF"/>
    <w:rsid w:val="2C993CF8"/>
    <w:rsid w:val="2D095E73"/>
    <w:rsid w:val="34B343DA"/>
    <w:rsid w:val="37A200AC"/>
    <w:rsid w:val="380B12B2"/>
    <w:rsid w:val="384E2216"/>
    <w:rsid w:val="3A4574B2"/>
    <w:rsid w:val="3B2E3F4D"/>
    <w:rsid w:val="3FFD00BF"/>
    <w:rsid w:val="40FE57EE"/>
    <w:rsid w:val="4C4308FE"/>
    <w:rsid w:val="54130175"/>
    <w:rsid w:val="57E43E5E"/>
    <w:rsid w:val="58E27BEC"/>
    <w:rsid w:val="59C553D4"/>
    <w:rsid w:val="5C6F1AF2"/>
    <w:rsid w:val="60D41C1D"/>
    <w:rsid w:val="61AF798C"/>
    <w:rsid w:val="63DB45BE"/>
    <w:rsid w:val="63F50A4F"/>
    <w:rsid w:val="69057392"/>
    <w:rsid w:val="6B3B2C71"/>
    <w:rsid w:val="6C7E0522"/>
    <w:rsid w:val="6D490EB5"/>
    <w:rsid w:val="70681F34"/>
    <w:rsid w:val="71204A9C"/>
    <w:rsid w:val="77D53699"/>
    <w:rsid w:val="79944E61"/>
    <w:rsid w:val="7A54014C"/>
    <w:rsid w:val="7AFB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2021-11-12T06:10:46Z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