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诸暨市景城嘉苑景翠苑5间商铺及附属产权储藏室140间、附属产权车库23个和17个车位使用权整体转让</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HJS2021ZC0829</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numPr>
          <w:ilvl w:val="0"/>
          <w:numId w:val="1"/>
        </w:num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lang w:eastAsia="zh-CN"/>
        </w:rPr>
        <w:t>、</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hint="eastAsia" w:asciiTheme="minorEastAsia" w:hAnsiTheme="minorEastAsia" w:eastAsiaTheme="minorEastAsia"/>
          <w:szCs w:val="21"/>
        </w:rPr>
        <w:t>等文件的规定，同意按照相关规定参加本项目竞价活动。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u w:val="none"/>
        </w:rPr>
        <w:t>2、我方</w:t>
      </w:r>
      <w:r>
        <w:rPr>
          <w:rFonts w:hint="eastAsia" w:asciiTheme="minorEastAsia" w:hAnsiTheme="minorEastAsia"/>
          <w:szCs w:val="21"/>
          <w:u w:val="none"/>
        </w:rPr>
        <w:t>提交</w:t>
      </w:r>
      <w:r>
        <w:rPr>
          <w:rFonts w:hint="eastAsia" w:asciiTheme="minorEastAsia" w:hAnsiTheme="minorEastAsia"/>
          <w:szCs w:val="21"/>
          <w:u w:val="none"/>
          <w:lang w:eastAsia="zh-CN"/>
        </w:rPr>
        <w:t>受让</w:t>
      </w:r>
      <w:r>
        <w:rPr>
          <w:rFonts w:asciiTheme="minorEastAsia" w:hAnsiTheme="minorEastAsia"/>
          <w:szCs w:val="21"/>
          <w:u w:val="none"/>
        </w:rPr>
        <w:t>申请并且</w:t>
      </w:r>
      <w:r>
        <w:rPr>
          <w:rFonts w:hint="eastAsia" w:asciiTheme="minorEastAsia" w:hAnsiTheme="minorEastAsia"/>
          <w:szCs w:val="21"/>
          <w:u w:val="none"/>
        </w:rPr>
        <w:t>交纳交易</w:t>
      </w:r>
      <w:r>
        <w:rPr>
          <w:rFonts w:asciiTheme="minorEastAsia" w:hAnsiTheme="minorEastAsia"/>
          <w:szCs w:val="21"/>
          <w:u w:val="none"/>
        </w:rPr>
        <w:t>保证金后，即视为已详细阅读并完全认可本项目所披露内容以及已完成对标的的现场踏勘，表明已完全了解</w:t>
      </w:r>
      <w:r>
        <w:rPr>
          <w:rFonts w:hint="eastAsia" w:asciiTheme="minorEastAsia" w:hAnsiTheme="minorEastAsia"/>
          <w:szCs w:val="21"/>
          <w:u w:val="none"/>
        </w:rPr>
        <w:t>并</w:t>
      </w:r>
      <w:r>
        <w:rPr>
          <w:rFonts w:asciiTheme="minorEastAsia" w:hAnsiTheme="minorEastAsia"/>
          <w:szCs w:val="21"/>
          <w:u w:val="none"/>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意向受让方须书面承诺：</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（1）</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lang w:eastAsia="zh-CN"/>
        </w:rPr>
        <w:t>同意在被确定为受让方次日起3个工作日内携带报名时上传的主体资格证明等相关文件原件至杭交所完成现场确认和签署《成交通知书》、《资产交易合同》等文件；受</w:t>
      </w:r>
      <w:r>
        <w:rPr>
          <w:rFonts w:hint="eastAsia" w:asciiTheme="minorEastAsia" w:hAnsiTheme="minorEastAsia" w:eastAsiaTheme="minorEastAsia"/>
          <w:szCs w:val="21"/>
          <w:lang w:val="en-US" w:eastAsia="zh-CN"/>
        </w:rPr>
        <w:t>我方同意</w:t>
      </w:r>
      <w:r>
        <w:rPr>
          <w:rFonts w:hint="eastAsia" w:asciiTheme="minorEastAsia" w:hAnsiTheme="minorEastAsia" w:eastAsiaTheme="minorEastAsia"/>
          <w:szCs w:val="21"/>
          <w:lang w:eastAsia="zh-CN"/>
        </w:rPr>
        <w:t>在《成交通知书》、《资产交易合同》签署次日起 10个工作日内向杭交所指定账户一次性支付交易服务费、交易价款等交易资金（以到账时间为准）。</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（2）</w:t>
      </w:r>
      <w:r>
        <w:rPr>
          <w:rFonts w:hint="eastAsia" w:asciiTheme="minorEastAsia" w:hAnsiTheme="minorEastAsia" w:eastAsiaTheme="minorEastAsia"/>
          <w:szCs w:val="21"/>
          <w:lang w:val="en-US" w:eastAsia="zh-CN"/>
        </w:rPr>
        <w:t>若我方成为受让方，我方已知悉并</w:t>
      </w:r>
      <w:r>
        <w:rPr>
          <w:rFonts w:hint="eastAsia" w:asciiTheme="minorEastAsia" w:hAnsiTheme="minorEastAsia" w:eastAsiaTheme="minorEastAsia"/>
          <w:szCs w:val="21"/>
          <w:lang w:eastAsia="zh-CN"/>
        </w:rPr>
        <w:t>同意：经转让方申请后，将</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方已交纳的交易价款全部划转至转让方指定账户。</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（3）</w:t>
      </w:r>
      <w:r>
        <w:rPr>
          <w:rFonts w:hint="eastAsia" w:asciiTheme="minorEastAsia" w:hAnsiTheme="minorEastAsia" w:eastAsiaTheme="minorEastAsia"/>
          <w:szCs w:val="21"/>
          <w:lang w:val="en-US" w:eastAsia="zh-CN"/>
        </w:rPr>
        <w:t>若我方成为</w:t>
      </w:r>
      <w:r>
        <w:rPr>
          <w:rFonts w:hint="eastAsia" w:asciiTheme="minorEastAsia" w:hAnsiTheme="minorEastAsia" w:eastAsiaTheme="minorEastAsia"/>
          <w:szCs w:val="21"/>
          <w:lang w:eastAsia="zh-CN"/>
        </w:rPr>
        <w:t>受让方，</w:t>
      </w:r>
      <w:r>
        <w:rPr>
          <w:rFonts w:hint="eastAsia" w:asciiTheme="minorEastAsia" w:hAnsiTheme="minorEastAsia" w:eastAsiaTheme="minorEastAsia"/>
          <w:szCs w:val="21"/>
          <w:lang w:val="en-US" w:eastAsia="zh-CN"/>
        </w:rPr>
        <w:t>我方已知悉并同意：我方将</w:t>
      </w:r>
      <w:r>
        <w:rPr>
          <w:rFonts w:hint="eastAsia" w:asciiTheme="minorEastAsia" w:hAnsiTheme="minorEastAsia" w:eastAsiaTheme="minorEastAsia"/>
          <w:szCs w:val="21"/>
          <w:lang w:eastAsia="zh-CN"/>
        </w:rPr>
        <w:t>自行了解是否完全符合国家及标的所在地规定的购房条件，若因</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方原因造成所受让房屋无法过户，</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方所缴纳的购房款损失及其他经济损失均由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方承担，与转让方及杭州企业产权交易中心有限公司无关，</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方已付交易资金</w:t>
      </w:r>
      <w:bookmarkStart w:id="0" w:name="_GoBack"/>
      <w:bookmarkEnd w:id="0"/>
      <w:r>
        <w:rPr>
          <w:rFonts w:hint="eastAsia" w:asciiTheme="minorEastAsia" w:hAnsiTheme="minorEastAsia" w:eastAsiaTheme="minorEastAsia"/>
          <w:szCs w:val="21"/>
          <w:lang w:eastAsia="zh-CN"/>
        </w:rPr>
        <w:t xml:space="preserve">不予返还。 </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若我方成为</w:t>
      </w:r>
      <w:r>
        <w:rPr>
          <w:rFonts w:hint="eastAsia" w:asciiTheme="minorEastAsia" w:hAnsiTheme="minorEastAsia" w:eastAsiaTheme="minorEastAsia"/>
          <w:szCs w:val="21"/>
          <w:lang w:eastAsia="zh-CN"/>
        </w:rPr>
        <w:t>受让方，</w:t>
      </w:r>
      <w:r>
        <w:rPr>
          <w:rFonts w:hint="eastAsia" w:asciiTheme="minorEastAsia" w:hAnsiTheme="minorEastAsia" w:eastAsiaTheme="minorEastAsia"/>
          <w:szCs w:val="21"/>
          <w:lang w:val="en-US" w:eastAsia="zh-CN"/>
        </w:rPr>
        <w:t>我方已知悉并同意：在</w:t>
      </w:r>
      <w:r>
        <w:rPr>
          <w:rFonts w:hint="eastAsia" w:asciiTheme="minorEastAsia" w:hAnsiTheme="minorEastAsia" w:eastAsiaTheme="minorEastAsia"/>
          <w:szCs w:val="21"/>
          <w:lang w:eastAsia="zh-CN"/>
        </w:rPr>
        <w:t>办理房产权证变更登记手续时，有关职能部门要求提供文本合同的，转让方和</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方双方应按照相关规定签订文本合同，但双方签订的该等文本合同仅作为办理登记手续之用，不作为双方的实际履行依据，双方权利义务关系均以转让方出具的《资产交易合同》为准。</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若我方成为</w:t>
      </w:r>
      <w:r>
        <w:rPr>
          <w:rFonts w:hint="eastAsia" w:asciiTheme="minorEastAsia" w:hAnsiTheme="minorEastAsia" w:eastAsiaTheme="minorEastAsia"/>
          <w:szCs w:val="21"/>
          <w:lang w:eastAsia="zh-CN"/>
        </w:rPr>
        <w:t>受让方，</w:t>
      </w:r>
      <w:r>
        <w:rPr>
          <w:rFonts w:hint="eastAsia" w:asciiTheme="minorEastAsia" w:hAnsiTheme="minorEastAsia" w:eastAsiaTheme="minorEastAsia"/>
          <w:szCs w:val="21"/>
          <w:lang w:val="en-US" w:eastAsia="zh-CN"/>
        </w:rPr>
        <w:t>我方已知悉并同意：</w:t>
      </w:r>
      <w:r>
        <w:rPr>
          <w:rFonts w:hint="eastAsia" w:asciiTheme="minorEastAsia" w:hAnsiTheme="minorEastAsia" w:eastAsiaTheme="minorEastAsia"/>
          <w:szCs w:val="21"/>
          <w:lang w:eastAsia="zh-CN"/>
        </w:rPr>
        <w:t>物业管理费从交接次月起由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方承担。水、电可以重新开户的，相关手续及费用由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方自行办理，但是否可以重新开户不在转让方出具的《资产交易合同》义务范围内，具体按照交易标的情况和政府相关管理规定执行。</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若我方成为</w:t>
      </w:r>
      <w:r>
        <w:rPr>
          <w:rFonts w:hint="eastAsia" w:asciiTheme="minorEastAsia" w:hAnsiTheme="minorEastAsia" w:eastAsiaTheme="minorEastAsia"/>
          <w:szCs w:val="21"/>
          <w:lang w:eastAsia="zh-CN"/>
        </w:rPr>
        <w:t>受让方，</w:t>
      </w:r>
      <w:r>
        <w:rPr>
          <w:rFonts w:hint="eastAsia" w:asciiTheme="minorEastAsia" w:hAnsiTheme="minorEastAsia" w:eastAsiaTheme="minorEastAsia"/>
          <w:szCs w:val="21"/>
          <w:lang w:val="en-US" w:eastAsia="zh-CN"/>
        </w:rPr>
        <w:t>我方已知悉并同意：</w:t>
      </w:r>
      <w:r>
        <w:rPr>
          <w:rFonts w:hint="eastAsia" w:asciiTheme="minorEastAsia" w:hAnsiTheme="minorEastAsia" w:eastAsiaTheme="minorEastAsia"/>
          <w:szCs w:val="21"/>
          <w:lang w:eastAsia="zh-CN"/>
        </w:rPr>
        <w:t>交易标的只限于权证核定的面积范围内，不包括标的外部的附属用房、设施等。标的房屋长时间未使用，如有漏水或需维修的情况，均由</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方自理,转让方不承担任何费用和责任。</w:t>
      </w:r>
    </w:p>
    <w:p>
      <w:pPr>
        <w:spacing w:line="360" w:lineRule="auto"/>
        <w:ind w:left="420" w:leftChars="200" w:firstLine="0" w:firstLineChars="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若我方成为</w:t>
      </w:r>
      <w:r>
        <w:rPr>
          <w:rFonts w:hint="eastAsia" w:asciiTheme="minorEastAsia" w:hAnsiTheme="minorEastAsia" w:eastAsiaTheme="minorEastAsia"/>
          <w:szCs w:val="21"/>
          <w:lang w:eastAsia="zh-CN"/>
        </w:rPr>
        <w:t>受让方，</w:t>
      </w:r>
      <w:r>
        <w:rPr>
          <w:rFonts w:hint="eastAsia" w:asciiTheme="minorEastAsia" w:hAnsiTheme="minorEastAsia" w:eastAsiaTheme="minorEastAsia"/>
          <w:szCs w:val="21"/>
          <w:lang w:val="en-US" w:eastAsia="zh-CN"/>
        </w:rPr>
        <w:t>我方已知悉并同意：</w:t>
      </w:r>
      <w:r>
        <w:rPr>
          <w:rFonts w:hint="eastAsia" w:asciiTheme="minorEastAsia" w:hAnsiTheme="minorEastAsia" w:eastAsiaTheme="minorEastAsia"/>
          <w:szCs w:val="21"/>
          <w:lang w:eastAsia="zh-CN"/>
        </w:rPr>
        <w:t>转让方与</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lang w:eastAsia="zh-CN"/>
        </w:rPr>
        <w:t>方的权利和义务，以转让方提供的《资产交易合同》（样本）为准。</w:t>
      </w:r>
    </w:p>
    <w:p>
      <w:pPr>
        <w:spacing w:line="360" w:lineRule="auto"/>
        <w:ind w:left="420" w:leftChars="200" w:firstLine="0" w:firstLineChars="0"/>
        <w:rPr>
          <w:rFonts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同意按成交金额的2.5%交纳交易服务费。</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asciiTheme="minorEastAsia" w:hAnsiTheme="minorEastAsia" w:eastAsiaTheme="minorEastAsia"/>
          <w:szCs w:val="21"/>
        </w:rPr>
        <w:t>、</w:t>
      </w:r>
      <w:r>
        <w:rPr>
          <w:rFonts w:hint="eastAsia" w:asciiTheme="minorEastAsia" w:hAnsiTheme="minorEastAsia" w:eastAsiaTheme="minorEastAsia"/>
          <w:szCs w:val="21"/>
        </w:rPr>
        <w:t xml:space="preserve">、若非转让方原因，出现以下任一情况时，意向受让方交纳的保证金不予退还，先用于补偿杭交所及经纪会员的各项服务费，剩余部分作为对转让方的经济补偿金，保证金不足以补偿的，相关方有权按照实际损失继续追诉：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（1）意向受让方提交受让申请并交纳交易保证金后单方撤回受让申请的；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（2）产生符合条件的意向受让方后，各意向受让方在竞价期间均不报价的;</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（3）在被确定为受让方后未按约定签署《资产交易合同》的或未按约定支付交易价款的；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（4）意向受让方未履行书面承诺事项的；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（5）存在其他违反交易规则情形的。 </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2021</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52C48D3"/>
    <w:multiLevelType w:val="singleLevel"/>
    <w:tmpl w:val="952C48D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C1B6077"/>
    <w:rsid w:val="0CCA5698"/>
    <w:rsid w:val="1A4D26DA"/>
    <w:rsid w:val="25F8037F"/>
    <w:rsid w:val="26851B4D"/>
    <w:rsid w:val="2AE67843"/>
    <w:rsid w:val="30873003"/>
    <w:rsid w:val="30BD3CBE"/>
    <w:rsid w:val="381E3097"/>
    <w:rsid w:val="43113BC5"/>
    <w:rsid w:val="51B53AC1"/>
    <w:rsid w:val="5378762D"/>
    <w:rsid w:val="610339B9"/>
    <w:rsid w:val="67644605"/>
    <w:rsid w:val="6E077050"/>
    <w:rsid w:val="7FA711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semiHidden/>
    <w:unhideWhenUsed/>
    <w:qFormat/>
    <w:uiPriority w:val="99"/>
    <w:pPr>
      <w:tabs>
        <w:tab w:val="center" w:pos="4153"/>
        <w:tab w:val="right" w:pos="8306"/>
      </w:tabs>
      <w:snapToGrid w:val="0"/>
      <w:jc w:val="left"/>
    </w:pPr>
    <w:rPr>
      <w:sz w:val="18"/>
      <w:szCs w:val="18"/>
    </w:rPr>
  </w:style>
  <w:style w:type="paragraph" w:styleId="4">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6">
    <w:name w:val="Body Text First Indent 2"/>
    <w:basedOn w:val="2"/>
    <w:qFormat/>
    <w:uiPriority w:val="0"/>
    <w:pPr>
      <w:tabs>
        <w:tab w:val="left" w:pos="1400"/>
      </w:tabs>
      <w:ind w:firstLine="420" w:firstLineChars="200"/>
    </w:pPr>
  </w:style>
  <w:style w:type="character" w:customStyle="1" w:styleId="9">
    <w:name w:val="页眉 Char"/>
    <w:basedOn w:val="8"/>
    <w:link w:val="4"/>
    <w:semiHidden/>
    <w:qFormat/>
    <w:uiPriority w:val="99"/>
    <w:rPr>
      <w:rFonts w:ascii="Times New Roman" w:hAnsi="Times New Roman" w:eastAsia="宋体" w:cs="Times New Roman"/>
      <w:sz w:val="18"/>
      <w:szCs w:val="18"/>
    </w:rPr>
  </w:style>
  <w:style w:type="character" w:customStyle="1" w:styleId="10">
    <w:name w:val="页脚 Char"/>
    <w:basedOn w:val="8"/>
    <w:link w:val="3"/>
    <w:semiHidden/>
    <w:qFormat/>
    <w:uiPriority w:val="99"/>
    <w:rPr>
      <w:rFonts w:ascii="Times New Roman" w:hAnsi="Times New Roman" w:eastAsia="宋体" w:cs="Times New Roman"/>
      <w:sz w:val="18"/>
      <w:szCs w:val="18"/>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181</Words>
  <Characters>1036</Characters>
  <Lines>8</Lines>
  <Paragraphs>2</Paragraphs>
  <TotalTime>72</TotalTime>
  <ScaleCrop>false</ScaleCrop>
  <LinksUpToDate>false</LinksUpToDate>
  <CharactersWithSpaces>1215</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CX</cp:lastModifiedBy>
  <cp:lastPrinted>2021-02-08T06:39:00Z</cp:lastPrinted>
  <dcterms:modified xsi:type="dcterms:W3CDTF">2021-07-27T08:08:30Z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