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sz w:val="22"/>
          <w:u w:val="single"/>
          <w:lang w:val="en-US" w:eastAsia="zh-CN"/>
        </w:rPr>
        <w:t>杭州市庆春路217、219号（现门牌号：庆春路219号）第四层房屋5</w:t>
      </w:r>
      <w:r>
        <w:rPr>
          <w:rFonts w:hint="eastAsia" w:ascii="宋体" w:hAnsi="宋体"/>
          <w:b/>
          <w:bCs w:val="0"/>
          <w:sz w:val="22"/>
          <w:u w:val="single"/>
          <w:lang w:val="en-US" w:eastAsia="zh-CN"/>
        </w:rPr>
        <w:t>年</w:t>
      </w:r>
      <w:r>
        <w:rPr>
          <w:rFonts w:hint="eastAsia" w:ascii="宋体" w:hAnsi="宋体"/>
          <w:b/>
          <w:bCs w:val="0"/>
          <w:sz w:val="22"/>
          <w:u w:val="single"/>
        </w:rPr>
        <w:t>租赁权</w:t>
      </w:r>
      <w:r>
        <w:rPr>
          <w:rFonts w:hint="eastAsia" w:ascii="宋体" w:hAnsi="宋体"/>
          <w:b/>
          <w:sz w:val="22"/>
          <w:u w:val="single"/>
        </w:rPr>
        <w:t>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0998）</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房产出租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0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pingfang sc regular" w:hAnsi="pingfang sc regular"/>
        </w:rPr>
        <w:t>3、同意在被确定为承租方次日起</w:t>
      </w:r>
      <w:r>
        <w:rPr>
          <w:rFonts w:hint="eastAsia" w:ascii="pingfang sc regular" w:hAnsi="pingfang sc regular"/>
          <w:u w:val="single"/>
        </w:rPr>
        <w:t>3</w:t>
      </w:r>
      <w:r>
        <w:rPr>
          <w:rFonts w:hint="eastAsia" w:ascii="pingfang sc regular" w:hAnsi="pingfang sc regular"/>
        </w:rPr>
        <w:t>个工作日内携带报名时上传的主体资格证明等相关文件原件至杭交所完成现场确认和签署《成交通知书》、《房屋租赁合同》、《租赁合同担保书》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、《房产租赁安全管理责任书》及其他交易合同；并在《成交通知书》、《房屋租赁合同</w:t>
      </w:r>
      <w:r>
        <w:rPr>
          <w:rFonts w:hint="eastAsia" w:ascii="pingfang sc regular" w:hAnsi="pingfang sc regular"/>
          <w:lang w:eastAsia="zh-CN"/>
        </w:rPr>
        <w:t>》</w:t>
      </w:r>
      <w:r>
        <w:rPr>
          <w:rFonts w:hint="eastAsia" w:ascii="pingfang sc regular" w:hAnsi="pingfang sc regular"/>
        </w:rPr>
        <w:t>、《租赁合同担保书》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、《房产租赁安全管理责任书》及其他交易合同签署次日起</w:t>
      </w:r>
      <w:r>
        <w:rPr>
          <w:rFonts w:hint="eastAsia" w:ascii="pingfang sc regular" w:hAnsi="pingfang sc regular"/>
          <w:u w:val="single"/>
          <w:lang w:val="en-US" w:eastAsia="zh-CN"/>
        </w:rPr>
        <w:t>5</w:t>
      </w:r>
      <w:r>
        <w:rPr>
          <w:rFonts w:hint="eastAsia" w:ascii="pingfang sc regular" w:hAnsi="pingfang sc regular"/>
        </w:rPr>
        <w:t>个工作日内向杭交所指定账户一次性支付</w:t>
      </w:r>
      <w:r>
        <w:rPr>
          <w:rFonts w:hint="eastAsia" w:ascii="pingfang sc regular" w:hAnsi="pingfang sc regular"/>
          <w:u w:val="single"/>
          <w:lang w:val="en-US" w:eastAsia="zh-CN"/>
        </w:rPr>
        <w:t>首期</w:t>
      </w:r>
      <w:r>
        <w:rPr>
          <w:rFonts w:hint="eastAsia" w:ascii="pingfang sc regular" w:hAnsi="pingfang sc regular"/>
          <w:u w:val="single"/>
        </w:rPr>
        <w:t>租金、履约保证金及交易服务费</w:t>
      </w:r>
      <w:r>
        <w:rPr>
          <w:rFonts w:hint="eastAsia" w:ascii="pingfang sc regular" w:hAnsi="pingfang sc regular"/>
        </w:rPr>
        <w:t>等交易资金（以到账时间为准）</w:t>
      </w:r>
      <w:r>
        <w:rPr>
          <w:rFonts w:hint="eastAsia" w:ascii="pingfang sc regular" w:hAnsi="pingfang sc regular"/>
          <w:lang w:eastAsia="zh-CN"/>
        </w:rPr>
        <w:t>。</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Theme="minorEastAsia" w:hAnsiTheme="minorEastAsia" w:eastAsiaTheme="minorEastAsia"/>
          <w:b/>
          <w:bCs/>
          <w:szCs w:val="21"/>
          <w:u w:val="single"/>
          <w:lang w:val="en-US" w:eastAsia="zh-CN"/>
        </w:rPr>
        <w:t>商业用房，不得用于住宿、不得经营餐饮、水产、棋牌、果蔬、计生用品及其他扰民行业，不得用于经营私人会所等高档消费场所。</w:t>
      </w:r>
      <w:bookmarkStart w:id="0" w:name="_GoBack"/>
      <w:bookmarkEnd w:id="0"/>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pingfang sc regular" w:hAnsi="pingfang sc regular"/>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w:t>
      </w:r>
      <w:r>
        <w:rPr>
          <w:rFonts w:hint="eastAsia" w:ascii="pingfang sc regular" w:hAnsi="pingfang sc regular"/>
        </w:rPr>
        <w:t>自转租的，转租行为无效。出租方有权单方面解除合同收回房屋。</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lang w:val="en-US" w:eastAsia="zh-CN"/>
        </w:rPr>
      </w:pPr>
      <w:r>
        <w:rPr>
          <w:rFonts w:hint="eastAsia" w:ascii="pingfang sc regular" w:hAnsi="pingfang sc regular"/>
          <w:lang w:val="en-US" w:eastAsia="zh-CN"/>
        </w:rPr>
        <w:t>9、</w:t>
      </w:r>
      <w:r>
        <w:rPr>
          <w:rFonts w:hint="eastAsia" w:ascii="pingfang sc regular" w:hAnsi="pingfang sc regular"/>
        </w:rPr>
        <w:t>我方知悉并承诺：</w:t>
      </w:r>
      <w:r>
        <w:rPr>
          <w:rFonts w:hint="eastAsia" w:ascii="pingfang sc regular" w:hAnsi="pingfang sc regular"/>
          <w:lang w:eastAsia="zh-CN"/>
        </w:rPr>
        <w:t>租赁房屋为出租方与杭州市湖滨地区商贸旅游特色街居建设整治指挥部按份共有，出租方占46%，杭州市湖滨地区商贸旅游特色街居建设整治指挥部占54%。根据《关于庆春路219号四楼房屋招租的函》明确由出租方统一对外招租，租赁房屋成交后，由我方分别与出租方与和杭州市湖滨地区商贸旅游特色街居建设整治指挥部签署租赁合同，并按租赁合同约定分别支付根据上述按份共有比例计算的首期租金、履约保证金及交易服务费等交易资金。</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w:t>
      </w:r>
      <w:r>
        <w:rPr>
          <w:rFonts w:asciiTheme="minorEastAsia" w:hAnsiTheme="minorEastAsia" w:eastAsiaTheme="minorEastAsia"/>
          <w:szCs w:val="21"/>
        </w:rPr>
        <w:t>我方知悉并承诺：</w:t>
      </w:r>
      <w:r>
        <w:rPr>
          <w:rFonts w:hint="eastAsia" w:asciiTheme="minorEastAsia" w:hAnsiTheme="minorEastAsia" w:eastAsiaTheme="minorEastAsia"/>
          <w:szCs w:val="21"/>
          <w:lang w:val="en-US" w:eastAsia="zh-CN"/>
        </w:rPr>
        <w:t>租赁房屋无单独房屋所有权证，</w:t>
      </w:r>
      <w:r>
        <w:rPr>
          <w:rFonts w:hint="eastAsia" w:asciiTheme="minorEastAsia" w:hAnsiTheme="minorEastAsia" w:eastAsiaTheme="minorEastAsia"/>
          <w:szCs w:val="21"/>
        </w:rPr>
        <w:t>无法保证办理营业执照，</w:t>
      </w:r>
      <w:r>
        <w:rPr>
          <w:rFonts w:hint="eastAsia" w:asciiTheme="minorEastAsia" w:hAnsiTheme="minorEastAsia" w:eastAsiaTheme="minorEastAsia"/>
          <w:szCs w:val="21"/>
          <w:lang w:val="en-US" w:eastAsia="zh-CN"/>
        </w:rPr>
        <w:t>由我方</w:t>
      </w:r>
      <w:r>
        <w:rPr>
          <w:rFonts w:hint="eastAsia" w:asciiTheme="minorEastAsia" w:hAnsiTheme="minorEastAsia" w:eastAsiaTheme="minorEastAsia"/>
          <w:szCs w:val="21"/>
        </w:rPr>
        <w:t>自行了解相关规定及承担可能存在的风险。拟出租房屋面积为测绘面积，与实际面积若有差异，以实际面积为准，成交的年租金及交易服务费不作调整。</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w:t>
      </w:r>
      <w:r>
        <w:rPr>
          <w:rFonts w:asciiTheme="minorEastAsia" w:hAnsiTheme="minorEastAsia" w:eastAsiaTheme="minorEastAsia"/>
          <w:szCs w:val="21"/>
        </w:rPr>
        <w:t>我方知悉并承诺：我方不得超过租赁业态范围改变经营业态，须合法合规经营。</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12、我方知悉并承诺：本次租赁房屋原承租人尚未搬离。原承租人已承诺若未获得本交易标的的，须在成交之日起一周</w:t>
      </w:r>
      <w:r>
        <w:rPr>
          <w:rFonts w:hint="eastAsia" w:asciiTheme="minorEastAsia" w:hAnsiTheme="minorEastAsia" w:eastAsiaTheme="minorEastAsia"/>
          <w:szCs w:val="21"/>
        </w:rPr>
        <w:t>内</w:t>
      </w:r>
      <w:r>
        <w:rPr>
          <w:rFonts w:hint="eastAsia" w:asciiTheme="minorEastAsia" w:hAnsiTheme="minorEastAsia" w:eastAsiaTheme="minorEastAsia"/>
          <w:szCs w:val="21"/>
          <w:lang w:val="en-US" w:eastAsia="zh-CN"/>
        </w:rPr>
        <w:t>腾空场地给出租方，若出租方未能及时清退原承租人的，我方同意等待租赁房屋的清退，直至交付止，同时，不提出任何附加条件或修改已签订的</w:t>
      </w:r>
      <w:r>
        <w:rPr>
          <w:rFonts w:hint="eastAsia" w:asciiTheme="minorEastAsia" w:hAnsiTheme="minorEastAsia" w:eastAsiaTheme="minorEastAsia"/>
          <w:szCs w:val="21"/>
        </w:rPr>
        <w:t>《房屋租赁合同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实际交付时，我方和出租方补签移交确认书，明确租期起始时间，租赁期以移交确认书上确定的交付之日起算，即出租方未能在起租日前交付租赁场地的，以实际交付之日起算租赁期限，自动后延为整个租赁期。</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13、我方知悉并承诺：出租方与我方的权利义务详见《房屋租赁合同》、《租赁合同担保书》、《房产租赁安全管理责任书》及其他交易合同。</w:t>
      </w:r>
    </w:p>
    <w:p>
      <w:pPr>
        <w:keepNext w:val="0"/>
        <w:keepLines w:val="0"/>
        <w:pageBreakBefore w:val="0"/>
        <w:kinsoku/>
        <w:wordWrap/>
        <w:overflowPunct/>
        <w:topLinePunct w:val="0"/>
        <w:autoSpaceDE/>
        <w:autoSpaceDN/>
        <w:bidi w:val="0"/>
        <w:adjustRightInd/>
        <w:snapToGrid/>
        <w:spacing w:line="400" w:lineRule="exact"/>
        <w:ind w:firstLine="422" w:firstLineChars="200"/>
        <w:textAlignment w:val="auto"/>
        <w:rPr>
          <w:rFonts w:hint="eastAsia" w:asciiTheme="minorEastAsia" w:hAnsiTheme="minorEastAsia" w:eastAsiaTheme="minorEastAsia"/>
          <w:b/>
          <w:bCs/>
          <w:szCs w:val="21"/>
        </w:rPr>
      </w:pPr>
      <w:r>
        <w:rPr>
          <w:rFonts w:hint="eastAsia" w:asciiTheme="minorEastAsia" w:hAnsiTheme="minorEastAsia" w:eastAsiaTheme="minorEastAsia"/>
          <w:b/>
          <w:bCs/>
          <w:szCs w:val="21"/>
          <w:lang w:val="en-US" w:eastAsia="zh-CN"/>
        </w:rPr>
        <w:t>14</w:t>
      </w:r>
      <w:r>
        <w:rPr>
          <w:rFonts w:hint="eastAsia" w:asciiTheme="minorEastAsia" w:hAnsiTheme="minorEastAsia" w:eastAsiaTheme="minorEastAsia"/>
          <w:b/>
          <w:bCs/>
          <w:szCs w:val="21"/>
        </w:rPr>
        <w:t>、同意交纳按照如下标准收取</w:t>
      </w:r>
      <w:r>
        <w:rPr>
          <w:rFonts w:hint="eastAsia" w:asciiTheme="minorEastAsia" w:hAnsiTheme="minorEastAsia" w:eastAsiaTheme="minorEastAsia"/>
          <w:b/>
          <w:bCs/>
          <w:szCs w:val="21"/>
          <w:lang w:eastAsia="zh-CN"/>
        </w:rPr>
        <w:t>的</w:t>
      </w:r>
      <w:r>
        <w:rPr>
          <w:rFonts w:hint="eastAsia" w:asciiTheme="minorEastAsia" w:hAnsiTheme="minorEastAsia" w:eastAsiaTheme="minorEastAsia"/>
          <w:b/>
          <w:bCs/>
          <w:szCs w:val="21"/>
          <w:lang w:val="en-US" w:eastAsia="zh-CN"/>
        </w:rPr>
        <w:t>交易服务费</w:t>
      </w:r>
      <w:r>
        <w:rPr>
          <w:rFonts w:hint="eastAsia" w:asciiTheme="minorEastAsia" w:hAnsiTheme="minorEastAsia" w:eastAsiaTheme="minorEastAsia"/>
          <w:b/>
          <w:bCs/>
          <w:szCs w:val="21"/>
        </w:rPr>
        <w:t>：</w:t>
      </w:r>
      <w:r>
        <w:rPr>
          <w:rFonts w:hint="eastAsia" w:asciiTheme="minorEastAsia" w:hAnsiTheme="minorEastAsia" w:eastAsiaTheme="minorEastAsia"/>
          <w:b w:val="0"/>
          <w:bCs w:val="0"/>
          <w:szCs w:val="21"/>
        </w:rPr>
        <w:t>各年租金累计在800万元以下，交易服务费按各年租金累计额的2%计取。各年租金累计在800万元以上，交易服务费按各年租金累计额的1.5%计取。</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15</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keepNext w:val="0"/>
        <w:keepLines w:val="0"/>
        <w:pageBreakBefore w:val="0"/>
        <w:kinsoku/>
        <w:wordWrap/>
        <w:overflowPunct/>
        <w:topLinePunct w:val="0"/>
        <w:autoSpaceDE/>
        <w:autoSpaceDN/>
        <w:bidi w:val="0"/>
        <w:adjustRightInd/>
        <w:snapToGrid/>
        <w:spacing w:line="400" w:lineRule="exact"/>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keepNext w:val="0"/>
        <w:keepLines w:val="0"/>
        <w:pageBreakBefore w:val="0"/>
        <w:kinsoku/>
        <w:wordWrap/>
        <w:overflowPunct/>
        <w:topLinePunct w:val="0"/>
        <w:autoSpaceDE/>
        <w:autoSpaceDN/>
        <w:bidi w:val="0"/>
        <w:adjustRightInd/>
        <w:snapToGrid/>
        <w:spacing w:line="40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43ABF"/>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7254E86"/>
    <w:rsid w:val="0F15442C"/>
    <w:rsid w:val="1CAF1531"/>
    <w:rsid w:val="218A23E0"/>
    <w:rsid w:val="21A6312C"/>
    <w:rsid w:val="26876BBB"/>
    <w:rsid w:val="26D040D5"/>
    <w:rsid w:val="289F5356"/>
    <w:rsid w:val="2B825398"/>
    <w:rsid w:val="2C583B61"/>
    <w:rsid w:val="2D906C8A"/>
    <w:rsid w:val="2EDF16DA"/>
    <w:rsid w:val="3099405C"/>
    <w:rsid w:val="397F11DB"/>
    <w:rsid w:val="39A8199F"/>
    <w:rsid w:val="39B851B0"/>
    <w:rsid w:val="3CA4327A"/>
    <w:rsid w:val="3E944C68"/>
    <w:rsid w:val="3E9829CD"/>
    <w:rsid w:val="3F645A79"/>
    <w:rsid w:val="42367D7B"/>
    <w:rsid w:val="433B6BC1"/>
    <w:rsid w:val="49685C71"/>
    <w:rsid w:val="4AFA7355"/>
    <w:rsid w:val="4D1E7FB4"/>
    <w:rsid w:val="4D8A3E08"/>
    <w:rsid w:val="529A73B4"/>
    <w:rsid w:val="536E1390"/>
    <w:rsid w:val="56C06256"/>
    <w:rsid w:val="64F3316E"/>
    <w:rsid w:val="666B305D"/>
    <w:rsid w:val="66EF7CE1"/>
    <w:rsid w:val="67DD46EA"/>
    <w:rsid w:val="68BD0463"/>
    <w:rsid w:val="6B992453"/>
    <w:rsid w:val="6D174484"/>
    <w:rsid w:val="70D56746"/>
    <w:rsid w:val="728F0602"/>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1</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2021-08-16T02:39:50Z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