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ind w:left="195" w:leftChars="93"/>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Helvetica" w:hAnsi="Helvetica" w:eastAsia="Helvetica" w:cs="Helvetica"/>
          <w:color w:val="303133"/>
          <w:sz w:val="21"/>
          <w:szCs w:val="21"/>
          <w:bdr w:val="none" w:color="auto" w:sz="0" w:space="0"/>
        </w:rPr>
        <w:t>杭州市拱墅区吉如家园14幢1单元705室房屋</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HJS2021ZC0986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lang w:eastAsia="zh-CN"/>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和杭州产权交易所官网编号为【HJS2021ZC0986 】的</w:t>
      </w:r>
      <w:r>
        <w:rPr>
          <w:rFonts w:ascii="Helvetica" w:hAnsi="Helvetica" w:eastAsia="Helvetica" w:cs="Helvetica"/>
          <w:color w:val="303133"/>
          <w:sz w:val="21"/>
          <w:szCs w:val="21"/>
          <w:u w:val="single"/>
        </w:rPr>
        <w:t>杭州市拱墅区吉如家园14幢1单元705室房屋</w:t>
      </w:r>
      <w:r>
        <w:rPr>
          <w:rFonts w:hint="eastAsia" w:asciiTheme="minorEastAsia" w:hAnsiTheme="minorEastAsia" w:eastAsiaTheme="minorEastAsia"/>
          <w:szCs w:val="21"/>
          <w:u w:val="single"/>
        </w:rPr>
        <w:t>项目项目</w:t>
      </w:r>
      <w:r>
        <w:rPr>
          <w:rFonts w:hint="eastAsia" w:asciiTheme="minorEastAsia" w:hAnsiTheme="minorEastAsia" w:eastAsiaTheme="minorEastAsia"/>
          <w:szCs w:val="21"/>
          <w:u w:val="single"/>
          <w:lang w:val="en-US" w:eastAsia="zh-CN"/>
        </w:rPr>
        <w:t>信息披露内容</w:t>
      </w:r>
      <w:r>
        <w:rPr>
          <w:rFonts w:hint="eastAsia" w:asciiTheme="minorEastAsia" w:hAnsiTheme="minorEastAsia" w:eastAsiaTheme="minorEastAsia"/>
          <w:szCs w:val="21"/>
          <w:u w:val="single"/>
        </w:rPr>
        <w:t>等文件的规定，同意按照相关规定参加本项目</w:t>
      </w:r>
      <w:r>
        <w:rPr>
          <w:rFonts w:hint="eastAsia" w:asciiTheme="minorEastAsia" w:hAnsiTheme="minorEastAsia" w:eastAsiaTheme="minorEastAsia"/>
          <w:szCs w:val="21"/>
        </w:rPr>
        <w:t>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hint="eastAsia" w:asciiTheme="minorEastAsia" w:hAnsiTheme="minorEastAsia"/>
          <w:szCs w:val="21"/>
          <w:u w:val="none"/>
          <w:lang w:eastAsia="zh-CN"/>
        </w:rPr>
        <w:t>受让</w:t>
      </w:r>
      <w:r>
        <w:rPr>
          <w:rFonts w:asciiTheme="minorEastAsia" w:hAnsiTheme="minorEastAsia"/>
          <w:szCs w:val="21"/>
          <w:u w:val="none"/>
        </w:rPr>
        <w:t>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w:t>
      </w:r>
      <w:r>
        <w:rPr>
          <w:rFonts w:hint="eastAsia" w:asciiTheme="minorEastAsia" w:hAnsiTheme="minorEastAsia"/>
          <w:szCs w:val="21"/>
          <w:u w:val="none"/>
        </w:rPr>
        <w:t>受让方须自行了解其对转让标的受让事项是否符合中国现行法律法规及杭州市规定的购房条件、房屋权属变更机构的相关规定，须自行承担无法过户的风险。</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lang w:val="en-US" w:eastAsia="zh-CN"/>
        </w:rPr>
        <w:t>4、</w:t>
      </w:r>
      <w:r>
        <w:rPr>
          <w:rFonts w:hint="eastAsia" w:asciiTheme="minorEastAsia" w:hAnsiTheme="minorEastAsia"/>
          <w:szCs w:val="21"/>
          <w:u w:val="none"/>
        </w:rPr>
        <w:t>意向受让方须书面承诺：</w:t>
      </w:r>
    </w:p>
    <w:p>
      <w:pPr>
        <w:widowControl/>
        <w:tabs>
          <w:tab w:val="left" w:pos="6975"/>
        </w:tabs>
        <w:spacing w:line="360" w:lineRule="auto"/>
        <w:ind w:firstLine="420" w:firstLineChars="200"/>
        <w:jc w:val="left"/>
        <w:rPr>
          <w:rFonts w:hint="eastAsia" w:ascii="宋体" w:hAnsi="宋体" w:eastAsia="宋体" w:cs="Times New Roman"/>
          <w:sz w:val="18"/>
          <w:szCs w:val="18"/>
        </w:rPr>
      </w:pPr>
      <w:r>
        <w:rPr>
          <w:rFonts w:hint="eastAsia" w:asciiTheme="minorEastAsia" w:hAnsiTheme="minorEastAsia"/>
          <w:szCs w:val="21"/>
          <w:u w:val="none"/>
          <w:lang w:eastAsia="zh-CN"/>
        </w:rPr>
        <w:t>（1）</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方在</w:t>
      </w:r>
      <w:r>
        <w:rPr>
          <w:rFonts w:hint="eastAsia" w:asciiTheme="minorEastAsia" w:hAnsiTheme="minorEastAsia"/>
          <w:szCs w:val="21"/>
          <w:u w:val="none"/>
        </w:rPr>
        <w:t>被确定为受让方次日起3个工作日内携带报名时上传的主体资格证明等相关文件原件至杭交所完成现场确认和签署《成交通知书》、《资产交易合同》；</w:t>
      </w:r>
      <w:r>
        <w:rPr>
          <w:rFonts w:hint="eastAsia" w:asciiTheme="minorEastAsia" w:hAnsiTheme="minorEastAsia"/>
          <w:szCs w:val="21"/>
          <w:u w:val="none"/>
          <w:lang w:val="en-US" w:eastAsia="zh-CN"/>
        </w:rPr>
        <w:t>我</w:t>
      </w:r>
      <w:r>
        <w:rPr>
          <w:rFonts w:hint="eastAsia" w:asciiTheme="minorEastAsia" w:hAnsiTheme="minorEastAsia"/>
          <w:szCs w:val="21"/>
          <w:u w:val="none"/>
        </w:rPr>
        <w:t>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w:t>
      </w:r>
      <w:r>
        <w:rPr>
          <w:rFonts w:hint="eastAsia" w:asciiTheme="minorEastAsia" w:hAnsiTheme="minorEastAsia"/>
          <w:szCs w:val="21"/>
          <w:u w:val="none"/>
          <w:lang w:val="en-US" w:eastAsia="zh-CN"/>
        </w:rPr>
        <w:t>证金再转为交易价款的一部分）（以到账时间为准）。</w:t>
      </w:r>
      <w:r>
        <w:rPr>
          <w:rFonts w:hint="eastAsia" w:asciiTheme="minorEastAsia" w:hAnsiTheme="minorEastAsia"/>
          <w:szCs w:val="21"/>
          <w:u w:val="none"/>
        </w:rPr>
        <w:t>若受让方需要委托杭州企业产权交易中心有限公司（简称经纪会员）或经纪会员指定的第三方办理权证过户手续的，经纪会员或经纪会员指定的第三方可提供有偿的权证过户服务，同时受让方还应自《成交通知书》</w:t>
      </w:r>
      <w:r>
        <w:rPr>
          <w:rFonts w:hint="eastAsia" w:asciiTheme="minorEastAsia" w:hAnsiTheme="minorEastAsia"/>
          <w:szCs w:val="21"/>
          <w:u w:val="none"/>
          <w:lang w:eastAsia="zh-CN"/>
        </w:rPr>
        <w:t>、《资产交易合同》</w:t>
      </w:r>
      <w:r>
        <w:rPr>
          <w:rFonts w:hint="eastAsia" w:asciiTheme="minorEastAsia" w:hAnsiTheme="minorEastAsia"/>
          <w:szCs w:val="21"/>
          <w:u w:val="none"/>
        </w:rPr>
        <w:t>签署次日起20个工作日内预付成交价</w:t>
      </w:r>
      <w:r>
        <w:rPr>
          <w:rFonts w:hint="eastAsia" w:asciiTheme="minorEastAsia" w:hAnsiTheme="minorEastAsia"/>
          <w:szCs w:val="21"/>
          <w:u w:val="none"/>
          <w:lang w:val="en-US" w:eastAsia="zh-CN"/>
        </w:rPr>
        <w:t>2</w:t>
      </w:r>
      <w:r>
        <w:rPr>
          <w:rFonts w:hint="eastAsia" w:asciiTheme="minorEastAsia" w:hAnsiTheme="minorEastAsia"/>
          <w:szCs w:val="21"/>
          <w:u w:val="none"/>
        </w:rPr>
        <w:t>%款项作为办理权证过户手续的税、费（多退少补</w:t>
      </w:r>
      <w:r>
        <w:rPr>
          <w:rFonts w:hint="eastAsia" w:ascii="宋体" w:hAnsi="宋体" w:eastAsia="宋体" w:cs="Times New Roman"/>
          <w:sz w:val="18"/>
          <w:szCs w:val="18"/>
        </w:rPr>
        <w:t>）。</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对符合按揭政策的受让方对本次交易的房产申请用杭交所</w:t>
      </w:r>
      <w:bookmarkStart w:id="0" w:name="_GoBack"/>
      <w:bookmarkEnd w:id="0"/>
      <w:r>
        <w:rPr>
          <w:rFonts w:hint="eastAsia" w:asciiTheme="minorEastAsia" w:hAnsiTheme="minorEastAsia"/>
          <w:szCs w:val="21"/>
          <w:u w:val="none"/>
          <w:lang w:val="en-US" w:eastAsia="zh-CN"/>
        </w:rPr>
        <w:t>指定银行商业贷款并获得银行核准的，应在《成交通知书》、《资产交易合同》签署次日起5个工作日内向杭交所指定账户付清交易服务费、首付款及预付成交价2%款项作为办理权证过户手续的税、费（多退少补），余款用银行贷款支付（《资产交易合同》签署当日，其交纳的交易保证金依次冲抵交易服务费和首付款）。</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若银行审核后不同意贷款的，我方应自银行贷款审核不通过之日起15个工作日内向杭交所指定账户一次性付清全部交易价款（首付款转为履约保证金，待应支付的剩余款项全部到账后，履约保证金再转为交易价款的一部分）。</w:t>
      </w:r>
    </w:p>
    <w:p>
      <w:pPr>
        <w:widowControl/>
        <w:tabs>
          <w:tab w:val="left" w:pos="6975"/>
        </w:tabs>
        <w:spacing w:line="360" w:lineRule="auto"/>
        <w:ind w:firstLine="420" w:firstLineChars="200"/>
        <w:jc w:val="left"/>
        <w:rPr>
          <w:rFonts w:hint="eastAsia" w:asciiTheme="minorEastAsia" w:hAnsiTheme="minorEastAsia"/>
          <w:szCs w:val="21"/>
          <w:u w:val="none"/>
          <w:lang w:eastAsia="zh-CN"/>
        </w:rPr>
      </w:pPr>
      <w:r>
        <w:rPr>
          <w:rFonts w:hint="eastAsia" w:asciiTheme="minorEastAsia" w:hAnsiTheme="minorEastAsia"/>
          <w:szCs w:val="21"/>
          <w:u w:val="none"/>
          <w:lang w:val="en-US" w:eastAsia="zh-CN"/>
        </w:rPr>
        <w:t>（2）同意杭交所在经转</w:t>
      </w:r>
      <w:r>
        <w:rPr>
          <w:rFonts w:hint="eastAsia" w:asciiTheme="minorEastAsia" w:hAnsiTheme="minorEastAsia"/>
          <w:szCs w:val="21"/>
          <w:u w:val="none"/>
          <w:lang w:eastAsia="zh-CN"/>
        </w:rPr>
        <w:t>让方申请次日起3个工作日内将</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方已交纳的交易价款全部划转至转让方指定账户。</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eastAsia="zh-CN"/>
        </w:rPr>
        <w:t>（</w:t>
      </w:r>
      <w:r>
        <w:rPr>
          <w:rFonts w:hint="eastAsia" w:asciiTheme="minorEastAsia" w:hAnsiTheme="minorEastAsia"/>
          <w:szCs w:val="21"/>
          <w:u w:val="none"/>
          <w:lang w:val="en-US" w:eastAsia="zh-CN"/>
        </w:rPr>
        <w:t>3）我方知悉并同意：我方应自行了解其是否完全符合国家及杭州市规定的购房条件，若因我方原因造成所受让房屋无法过户，我方所缴纳的购房款损失及其他经济损失均由我方承担，与转让方及经纪会员无关，我方已付交易服务费和履约保证金不予返还。</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（4）我方知悉并同意：若因转让方原因造成房屋无法过户给我方的，转让方将退还我方缴纳给转让方的所有购房款并承担我方须支付的交易服务费用。转受双方签订的合同自动解除，不再承担其他违约责任。</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（5）我方知悉并同意：本次交易标的目前土地使用类型为划拨，在办理标的权证过户时，土地使用类型会变化，因土地使用类型变化引起的土地有偿使用费，由我方承担。</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6）我方知悉并同意：本次交易成交后，该标的的受让方须无条件继续履行转让方与承租方已签订的《集体宿舍使用协议》直至租赁期满，我方与承租方关于房屋是否继续租赁的问题由我方与承租方自行协商解决。</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 xml:space="preserve">（7）我方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（8）我方知悉并同意：同</w:t>
      </w:r>
      <w:r>
        <w:rPr>
          <w:rFonts w:hint="eastAsia" w:asciiTheme="minorEastAsia" w:hAnsiTheme="minorEastAsia"/>
          <w:szCs w:val="21"/>
          <w:u w:val="none"/>
          <w:lang w:eastAsia="zh-CN"/>
        </w:rPr>
        <w:t>意物业管理费从交接次月起由</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方承担。水、电可以重新开户的，相关手续及费用由</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方自行办理，但是否可以重新开户不在转让方合同义务范围内，具体</w:t>
      </w:r>
      <w:r>
        <w:rPr>
          <w:rFonts w:hint="eastAsia" w:asciiTheme="minorEastAsia" w:hAnsiTheme="minorEastAsia"/>
          <w:szCs w:val="21"/>
          <w:u w:val="none"/>
          <w:lang w:val="en-US" w:eastAsia="zh-CN"/>
        </w:rPr>
        <w:t xml:space="preserve">按照交易标的情况和政府相关管理规定执行。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（9）我方知悉并同意：本次交易标的只限于权证核定的面积范围内。标的房屋如有漏水或需维修的情况，均由我方自理,转让方不承担任何费用和责任。</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（10）我方知悉并同意：被确认为我方为受让方后如果选择银行贷款支付交易价款的，同意由杭交所对我方支付到产金所账户“个人中心-未使用资金”的首付款进行扣除。</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 xml:space="preserve">（11）我方知悉并同意：本次转让方与我方的权利义务，最终以转让方提供的《资产交易合同》为准。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5、同意按成交金额的2.5%交纳交易服务费。</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szCs w:val="21"/>
          <w:u w:val="none"/>
          <w:lang w:val="en-US" w:eastAsia="zh-CN"/>
        </w:rPr>
        <w:t>6</w:t>
      </w:r>
      <w:r>
        <w:rPr>
          <w:rFonts w:asciiTheme="minorEastAsia" w:hAnsiTheme="minorEastAsia"/>
          <w:szCs w:val="21"/>
          <w:u w:val="none"/>
        </w:rPr>
        <w:t>、若非转让方原因，出现以下任一情况时，意向受让方交纳的保证金，先用于补偿</w:t>
      </w:r>
      <w:r>
        <w:rPr>
          <w:rFonts w:hint="eastAsia" w:asciiTheme="minorEastAsia" w:hAnsiTheme="minorEastAsia"/>
          <w:szCs w:val="21"/>
          <w:u w:val="none"/>
        </w:rPr>
        <w:t>杭交所</w:t>
      </w:r>
      <w:r>
        <w:rPr>
          <w:rFonts w:asciiTheme="minorEastAsia" w:hAnsiTheme="minorEastAsia"/>
          <w:szCs w:val="21"/>
          <w:u w:val="none"/>
        </w:rPr>
        <w:t>及经纪会员的各项服务费，剩余部分作为对转让方的经济补偿金，保证金不足以补偿的，相关方有权按照实际损失继续追诉：</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（1）意向受让方提交承租申请并交纳交易保证金后单方撤回承租申请的；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（2）产生符合条件的意向受让方后，各意向受让方在竞价期间均不报价的；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（3）在被确定为受让方后未按约定签署《资产交易合同》的或未按约定支付交易价款的；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（4）意向受让方未履行书面承诺事项的；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（5）存在其他违反交易规则情形的。</w:t>
      </w: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szCs w:val="21"/>
          <w:u w:val="none"/>
        </w:rPr>
        <w:t xml:space="preserve">                                     </w:t>
      </w:r>
      <w:r>
        <w:rPr>
          <w:rFonts w:hint="eastAsia" w:asciiTheme="minorEastAsia" w:hAnsiTheme="minorEastAsia"/>
          <w:szCs w:val="21"/>
          <w:u w:val="none"/>
          <w:lang w:val="en-US" w:eastAsia="zh-CN"/>
        </w:rPr>
        <w:t xml:space="preserve">     </w:t>
      </w:r>
      <w:r>
        <w:rPr>
          <w:rFonts w:hint="eastAsia" w:asciiTheme="minorEastAsia" w:hAnsiTheme="minorEastAsia"/>
          <w:szCs w:val="21"/>
          <w:u w:val="none"/>
        </w:rPr>
        <w:t xml:space="preserve">   意向受让方（签</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nymce">
    <w:altName w:val="Segoe Print"/>
    <w:panose1 w:val="00000000000000000000"/>
    <w:charset w:val="00"/>
    <w:family w:val="auto"/>
    <w:pitch w:val="default"/>
    <w:sig w:usb0="00000000" w:usb1="00000000" w:usb2="00000000" w:usb3="00000000" w:csb0="00000000" w:csb1="00000000"/>
  </w:font>
  <w:font w:name="element-icons">
    <w:altName w:val="Segoe Print"/>
    <w:panose1 w:val="00000000000000000000"/>
    <w:charset w:val="00"/>
    <w:family w:val="auto"/>
    <w:pitch w:val="default"/>
    <w:sig w:usb0="00000000" w:usb1="00000000" w:usb2="00000000" w:usb3="00000000" w:csb0="00000000" w:csb1="00000000"/>
  </w:font>
  <w:font w:name="tinymce-small">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255B"/>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BF67468"/>
    <w:rsid w:val="0C1F6F42"/>
    <w:rsid w:val="0CCA5698"/>
    <w:rsid w:val="1A4D26DA"/>
    <w:rsid w:val="25F8037F"/>
    <w:rsid w:val="26851B4D"/>
    <w:rsid w:val="2AE67843"/>
    <w:rsid w:val="30873003"/>
    <w:rsid w:val="30BD3CBE"/>
    <w:rsid w:val="319323E3"/>
    <w:rsid w:val="381E3097"/>
    <w:rsid w:val="43113BC5"/>
    <w:rsid w:val="472776FE"/>
    <w:rsid w:val="4997202B"/>
    <w:rsid w:val="4FD510A6"/>
    <w:rsid w:val="51B53AC1"/>
    <w:rsid w:val="5378762D"/>
    <w:rsid w:val="610339B9"/>
    <w:rsid w:val="636B27EC"/>
    <w:rsid w:val="67644605"/>
    <w:rsid w:val="69AD1AC9"/>
    <w:rsid w:val="6E077050"/>
    <w:rsid w:val="717748E4"/>
    <w:rsid w:val="7AAE1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7"/>
    <w:semiHidden/>
    <w:unhideWhenUsed/>
    <w:qFormat/>
    <w:uiPriority w:val="99"/>
    <w:pPr>
      <w:tabs>
        <w:tab w:val="center" w:pos="4153"/>
        <w:tab w:val="right" w:pos="8306"/>
      </w:tabs>
      <w:snapToGrid w:val="0"/>
      <w:jc w:val="left"/>
    </w:pPr>
    <w:rPr>
      <w:sz w:val="18"/>
      <w:szCs w:val="18"/>
    </w:rPr>
  </w:style>
  <w:style w:type="paragraph" w:styleId="4">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6">
    <w:name w:val="Body Text First Indent 2"/>
    <w:basedOn w:val="2"/>
    <w:qFormat/>
    <w:uiPriority w:val="0"/>
    <w:pPr>
      <w:tabs>
        <w:tab w:val="left" w:pos="1400"/>
      </w:tabs>
      <w:ind w:firstLine="420" w:firstLineChars="200"/>
    </w:pPr>
  </w:style>
  <w:style w:type="character" w:styleId="9">
    <w:name w:val="Strong"/>
    <w:basedOn w:val="8"/>
    <w:qFormat/>
    <w:uiPriority w:val="22"/>
    <w:rPr>
      <w:b/>
    </w:rPr>
  </w:style>
  <w:style w:type="character" w:styleId="10">
    <w:name w:val="FollowedHyperlink"/>
    <w:basedOn w:val="8"/>
    <w:semiHidden/>
    <w:unhideWhenUsed/>
    <w:uiPriority w:val="99"/>
    <w:rPr>
      <w:color w:val="57BBE9"/>
      <w:u w:val="none"/>
    </w:rPr>
  </w:style>
  <w:style w:type="character" w:styleId="11">
    <w:name w:val="HTML Definition"/>
    <w:basedOn w:val="8"/>
    <w:semiHidden/>
    <w:unhideWhenUsed/>
    <w:uiPriority w:val="99"/>
    <w:rPr>
      <w:i/>
    </w:rPr>
  </w:style>
  <w:style w:type="character" w:styleId="12">
    <w:name w:val="Hyperlink"/>
    <w:basedOn w:val="8"/>
    <w:semiHidden/>
    <w:unhideWhenUsed/>
    <w:uiPriority w:val="99"/>
    <w:rPr>
      <w:color w:val="57BBE9"/>
      <w:u w:val="none"/>
    </w:rPr>
  </w:style>
  <w:style w:type="character" w:styleId="13">
    <w:name w:val="HTML Code"/>
    <w:basedOn w:val="8"/>
    <w:semiHidden/>
    <w:unhideWhenUsed/>
    <w:uiPriority w:val="99"/>
    <w:rPr>
      <w:rFonts w:hint="default" w:ascii="monospace" w:hAnsi="monospace" w:eastAsia="monospace" w:cs="monospace"/>
      <w:sz w:val="21"/>
      <w:szCs w:val="21"/>
    </w:rPr>
  </w:style>
  <w:style w:type="character" w:styleId="14">
    <w:name w:val="HTML Keyboard"/>
    <w:basedOn w:val="8"/>
    <w:semiHidden/>
    <w:unhideWhenUsed/>
    <w:uiPriority w:val="99"/>
    <w:rPr>
      <w:rFonts w:hint="default" w:ascii="monospace" w:hAnsi="monospace" w:eastAsia="monospace" w:cs="monospace"/>
      <w:sz w:val="21"/>
      <w:szCs w:val="21"/>
    </w:rPr>
  </w:style>
  <w:style w:type="character" w:styleId="15">
    <w:name w:val="HTML Sample"/>
    <w:basedOn w:val="8"/>
    <w:semiHidden/>
    <w:unhideWhenUsed/>
    <w:uiPriority w:val="99"/>
    <w:rPr>
      <w:rFonts w:ascii="monospace" w:hAnsi="monospace" w:eastAsia="monospace" w:cs="monospace"/>
      <w:sz w:val="21"/>
      <w:szCs w:val="21"/>
    </w:rPr>
  </w:style>
  <w:style w:type="character" w:customStyle="1" w:styleId="16">
    <w:name w:val="页眉 Char"/>
    <w:basedOn w:val="8"/>
    <w:link w:val="4"/>
    <w:semiHidden/>
    <w:qFormat/>
    <w:uiPriority w:val="99"/>
    <w:rPr>
      <w:rFonts w:ascii="Times New Roman" w:hAnsi="Times New Roman" w:eastAsia="宋体" w:cs="Times New Roman"/>
      <w:sz w:val="18"/>
      <w:szCs w:val="18"/>
    </w:rPr>
  </w:style>
  <w:style w:type="character" w:customStyle="1" w:styleId="17">
    <w:name w:val="页脚 Char"/>
    <w:basedOn w:val="8"/>
    <w:link w:val="3"/>
    <w:semiHidden/>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uiPriority w:val="0"/>
    <w:rPr>
      <w:sz w:val="19"/>
      <w:szCs w:val="19"/>
    </w:rPr>
  </w:style>
  <w:style w:type="character" w:customStyle="1" w:styleId="20">
    <w:name w:val="not([class*=suffix])1"/>
    <w:basedOn w:val="8"/>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2021-02-08T06:39:00Z</cp:lastPrinted>
  <dcterms:modified xsi:type="dcterms:W3CDTF">2021-08-12T05:51:34Z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