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杭州市西湖区丰潭路249号一层和二层房屋5年租赁权</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hint="default" w:asciiTheme="minorEastAsia" w:hAnsiTheme="minorEastAsia" w:eastAsiaTheme="minorEastAsia"/>
          <w:bCs/>
          <w:szCs w:val="21"/>
          <w:u w:val="single"/>
          <w:lang w:val="en-US" w:eastAsia="zh-CN"/>
        </w:rPr>
      </w:pPr>
      <w:r>
        <w:rPr>
          <w:rFonts w:hint="eastAsia" w:asciiTheme="minorEastAsia" w:hAnsiTheme="minorEastAsia" w:eastAsiaTheme="minorEastAsia"/>
          <w:bCs/>
          <w:szCs w:val="21"/>
          <w:u w:val="single"/>
          <w:lang w:val="en-US" w:eastAsia="zh-CN"/>
        </w:rPr>
        <w:t>9、出租方与承租方的权利义务详见《房屋租赁合同》（样本）。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1D224C3E"/>
    <w:rsid w:val="2EDF5580"/>
    <w:rsid w:val="2EF318B6"/>
    <w:rsid w:val="331B0FC3"/>
    <w:rsid w:val="39E93E4D"/>
    <w:rsid w:val="40F949BD"/>
    <w:rsid w:val="41835542"/>
    <w:rsid w:val="48BB3FE2"/>
    <w:rsid w:val="62B50BDA"/>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39</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2021-08-03T03:20:36Z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