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b/>
          <w:bCs/>
          <w:sz w:val="44"/>
        </w:rPr>
      </w:pPr>
      <w:r>
        <w:rPr>
          <w:rFonts w:hint="eastAsia"/>
          <w:b/>
          <w:bCs/>
          <w:sz w:val="44"/>
        </w:rPr>
        <w:t>安全生产、治安、消防安全、城市长效管理责任书</w:t>
      </w:r>
    </w:p>
    <w:p>
      <w:pPr>
        <w:spacing w:line="480" w:lineRule="exact"/>
        <w:rPr>
          <w:b/>
          <w:bCs/>
          <w:sz w:val="24"/>
        </w:rPr>
      </w:pPr>
    </w:p>
    <w:p>
      <w:pPr>
        <w:wordWrap w:val="0"/>
        <w:spacing w:line="480" w:lineRule="exact"/>
        <w:ind w:firstLine="480"/>
        <w:jc w:val="right"/>
        <w:rPr>
          <w:sz w:val="24"/>
        </w:rPr>
      </w:pPr>
      <w:r>
        <w:rPr>
          <w:rFonts w:hint="eastAsia" w:ascii="宋体" w:hAnsi="宋体" w:cs="宋体"/>
          <w:b/>
          <w:bCs/>
          <w:sz w:val="24"/>
        </w:rPr>
        <w:t>编号：</w:t>
      </w:r>
      <w:r>
        <w:rPr>
          <w:rFonts w:hint="eastAsia" w:ascii="宋体" w:hAnsi="宋体" w:cs="宋体"/>
          <w:b/>
          <w:bCs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  <w:u w:val="single"/>
        </w:rPr>
        <w:t>#</w:t>
      </w:r>
    </w:p>
    <w:p>
      <w:pPr>
        <w:spacing w:line="480" w:lineRule="exact"/>
        <w:ind w:firstLine="480"/>
        <w:rPr>
          <w:sz w:val="24"/>
        </w:rPr>
      </w:pPr>
    </w:p>
    <w:p>
      <w:pPr>
        <w:spacing w:line="48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根据国家法律法规的有关规定，为加强租赁房屋的治安、消防、城市“四化”长效管理，认真贯彻“安全第一、预防为主”的方针，切实履行各自职责，防止各类安全事故的发生，确保人民生命和国家财产的安全，确保城市“四化”长效管理各项目标任务的完成，出租方</w:t>
      </w:r>
      <w:r>
        <w:rPr>
          <w:rFonts w:hint="eastAsia"/>
          <w:sz w:val="24"/>
          <w:u w:val="single"/>
          <w:lang w:val="en-US" w:eastAsia="zh-CN"/>
        </w:rPr>
        <w:t xml:space="preserve">            </w:t>
      </w:r>
      <w:r>
        <w:rPr>
          <w:rFonts w:hint="eastAsia"/>
          <w:sz w:val="24"/>
        </w:rPr>
        <w:t>（以下简称甲方）与承租方</w:t>
      </w:r>
      <w:r>
        <w:rPr>
          <w:rFonts w:hint="eastAsia"/>
          <w:sz w:val="24"/>
          <w:u w:val="single"/>
          <w:lang w:val="en-US" w:eastAsia="zh-CN"/>
        </w:rPr>
        <w:t xml:space="preserve">      </w:t>
      </w:r>
      <w:r>
        <w:rPr>
          <w:rFonts w:hint="eastAsia"/>
          <w:sz w:val="24"/>
        </w:rPr>
        <w:t>（以下简称乙方）就</w:t>
      </w:r>
      <w:r>
        <w:rPr>
          <w:rFonts w:hint="eastAsia"/>
          <w:sz w:val="24"/>
          <w:u w:val="single"/>
          <w:lang w:val="en-US" w:eastAsia="zh-CN"/>
        </w:rPr>
        <w:t xml:space="preserve">    </w:t>
      </w:r>
      <w:r>
        <w:rPr>
          <w:rFonts w:hint="eastAsia"/>
          <w:sz w:val="24"/>
        </w:rPr>
        <w:t>经营房屋，建筑面积</w:t>
      </w:r>
      <w:r>
        <w:rPr>
          <w:rFonts w:hint="eastAsia"/>
          <w:sz w:val="24"/>
          <w:u w:val="single"/>
          <w:lang w:val="en-US" w:eastAsia="zh-CN"/>
        </w:rPr>
        <w:t xml:space="preserve">   </w:t>
      </w:r>
      <w:r>
        <w:rPr>
          <w:rFonts w:hint="eastAsia"/>
          <w:sz w:val="24"/>
        </w:rPr>
        <w:t>平方米租赁的安全生产、治安、消防安全、城市“四化”长效管理，特签订本责任书。</w:t>
      </w:r>
    </w:p>
    <w:p>
      <w:pPr>
        <w:numPr>
          <w:ilvl w:val="0"/>
          <w:numId w:val="1"/>
        </w:numPr>
        <w:spacing w:line="480" w:lineRule="exact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甲方责任：</w:t>
      </w:r>
    </w:p>
    <w:p>
      <w:pPr>
        <w:spacing w:line="480" w:lineRule="exact"/>
        <w:ind w:firstLine="480" w:firstLineChars="200"/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、按照国家有关安全生产、治安、消防的法律法规，对乙方安全生产、治安、消防安全工作进行督促、检查和指导，协助乙方宣传普及安全生产、治安消防知识，帮助提高自防自救能力。</w:t>
      </w:r>
    </w:p>
    <w:p>
      <w:pPr>
        <w:spacing w:line="480" w:lineRule="exact"/>
        <w:ind w:firstLine="480" w:firstLineChars="200"/>
        <w:rPr>
          <w:sz w:val="24"/>
        </w:rPr>
      </w:pPr>
      <w:r>
        <w:rPr>
          <w:sz w:val="24"/>
        </w:rPr>
        <w:t>2</w:t>
      </w:r>
      <w:r>
        <w:rPr>
          <w:rFonts w:hint="eastAsia"/>
          <w:sz w:val="24"/>
        </w:rPr>
        <w:t>、经常检查乙方安全生产、治安和消防制度的落实情况，及时纠正或制止各类违规现象，督促乙方采取整改和防范措施，消除各类不安全隐患。</w:t>
      </w:r>
    </w:p>
    <w:p>
      <w:pPr>
        <w:spacing w:line="480" w:lineRule="exact"/>
        <w:ind w:firstLine="480" w:firstLineChars="200"/>
        <w:rPr>
          <w:sz w:val="24"/>
        </w:rPr>
      </w:pPr>
      <w:r>
        <w:rPr>
          <w:sz w:val="24"/>
        </w:rPr>
        <w:t>3</w:t>
      </w:r>
      <w:r>
        <w:rPr>
          <w:rFonts w:hint="eastAsia"/>
          <w:sz w:val="24"/>
        </w:rPr>
        <w:t>、定期检查乙方消防器材的保养、使用情况，确保消防器材数量齐备，性能完好。</w:t>
      </w:r>
    </w:p>
    <w:p>
      <w:pPr>
        <w:spacing w:line="480" w:lineRule="exact"/>
        <w:ind w:firstLine="480" w:firstLineChars="200"/>
        <w:rPr>
          <w:sz w:val="24"/>
        </w:rPr>
      </w:pPr>
      <w:r>
        <w:rPr>
          <w:sz w:val="24"/>
        </w:rPr>
        <w:t>4</w:t>
      </w:r>
      <w:r>
        <w:rPr>
          <w:rFonts w:hint="eastAsia"/>
          <w:sz w:val="24"/>
        </w:rPr>
        <w:t>、检查乙方城市“四化”长效管理制度的落实情况，发现城市“四化”感官指标不达标现象，将督促乙方整改，帮助提高长效管理能力。</w:t>
      </w:r>
    </w:p>
    <w:p>
      <w:pPr>
        <w:numPr>
          <w:ilvl w:val="0"/>
          <w:numId w:val="1"/>
        </w:numPr>
        <w:spacing w:line="480" w:lineRule="exact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乙方责任：</w:t>
      </w:r>
    </w:p>
    <w:p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    1、乙方必须承担租赁期间（2021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 xml:space="preserve"> MERGEFIELD "现承租起始    日期"</w:instrText>
      </w:r>
      <w:r>
        <w:rPr>
          <w:rFonts w:hint="eastAsia"/>
          <w:sz w:val="24"/>
        </w:rPr>
        <w:fldChar w:fldCharType="separate"/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日起至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日止</w: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）的安全生产、治安、消防安全管理责任。乙方法定代表人（承租人）为安全生产、治安消防责任人。凡因安全、城市“四化”长效管理制度不落实，管理不严，隐患整改不及时，生产操作不当，以及违规储存易燃易爆物品，不按规定使用电器等引起的城市“四化”长效管理责任、治安问题和火灾事故一律由乙方负责，由此产生的经济损失、责任处罚均由乙方全部承担。</w:t>
      </w:r>
    </w:p>
    <w:p>
      <w:pPr>
        <w:spacing w:line="480" w:lineRule="exact"/>
        <w:ind w:firstLine="480" w:firstLineChars="200"/>
        <w:rPr>
          <w:b/>
          <w:bCs/>
          <w:sz w:val="28"/>
        </w:rPr>
      </w:pPr>
      <w:r>
        <w:rPr>
          <w:sz w:val="24"/>
        </w:rPr>
        <w:t>2</w:t>
      </w:r>
      <w:r>
        <w:rPr>
          <w:rFonts w:hint="eastAsia"/>
          <w:sz w:val="24"/>
        </w:rPr>
        <w:t>、乙方必须制定并认真落实好各项安全生产、治安、消防安全和城市“四化”长效管理制度，严格安全检查制度，抓好各类不安全隐患的整改。</w:t>
      </w:r>
    </w:p>
    <w:p>
      <w:pPr>
        <w:spacing w:line="480" w:lineRule="exact"/>
        <w:ind w:firstLine="480"/>
        <w:rPr>
          <w:b/>
          <w:bCs/>
          <w:sz w:val="18"/>
        </w:rPr>
      </w:pPr>
      <w:r>
        <w:rPr>
          <w:sz w:val="24"/>
        </w:rPr>
        <w:t>3</w:t>
      </w:r>
      <w:r>
        <w:rPr>
          <w:rFonts w:hint="eastAsia"/>
          <w:sz w:val="24"/>
        </w:rPr>
        <w:t>、负责对乙方员工开展经常性的消防和安全生产知识教育，负责配备齐全各类消防器材，熟悉了解消防器材的性能、质量，掌握消防器材的使用方法，定期检查消防器材的保养维护情况，确保消防器材数量充足，性能完好。</w:t>
      </w:r>
    </w:p>
    <w:p>
      <w:pPr>
        <w:spacing w:line="480" w:lineRule="exact"/>
        <w:ind w:firstLine="480"/>
        <w:rPr>
          <w:sz w:val="24"/>
        </w:rPr>
      </w:pPr>
      <w:r>
        <w:rPr>
          <w:sz w:val="24"/>
        </w:rPr>
        <w:t>4</w:t>
      </w:r>
      <w:r>
        <w:rPr>
          <w:rFonts w:hint="eastAsia"/>
          <w:sz w:val="24"/>
        </w:rPr>
        <w:t>、加强治安管理，认真堵漏防范。按职能部门要求规范劳动用工。落实贵重物品的技术防范要求，确保不发生任何治安问题以及违法案件。</w:t>
      </w:r>
    </w:p>
    <w:p>
      <w:pPr>
        <w:spacing w:line="480" w:lineRule="exact"/>
        <w:ind w:firstLine="480"/>
        <w:rPr>
          <w:sz w:val="24"/>
        </w:rPr>
      </w:pPr>
      <w:r>
        <w:rPr>
          <w:sz w:val="24"/>
        </w:rPr>
        <w:t>5</w:t>
      </w:r>
      <w:r>
        <w:rPr>
          <w:rFonts w:hint="eastAsia"/>
          <w:sz w:val="24"/>
        </w:rPr>
        <w:t>、乙方必须按防火要求将生产经营区按规定划分禁烟区和用火区域，严禁乱堆乱放各类物料，保持通道、楼道和其它疏散通道的畅通无阻。加强用电管理，严禁乱拉乱接电源和超负荷用电以及违规使用电器，落实专人管理，确保安全用电。</w:t>
      </w:r>
    </w:p>
    <w:p>
      <w:pPr>
        <w:spacing w:line="480" w:lineRule="exact"/>
        <w:ind w:firstLine="480"/>
        <w:rPr>
          <w:sz w:val="24"/>
        </w:rPr>
      </w:pPr>
      <w:r>
        <w:rPr>
          <w:sz w:val="24"/>
        </w:rPr>
        <w:t>6</w:t>
      </w:r>
      <w:r>
        <w:rPr>
          <w:rFonts w:hint="eastAsia"/>
          <w:sz w:val="24"/>
        </w:rPr>
        <w:t>、乙方在租赁期间，必须接受甲方在安全生产、治安、消防安全、城市“四化”长效管理工作的检查、监督、指导，服从有关职能部门依法管理，及时处理好各职能部门提出的整改意见和处罚，如拒不执行，甲方按房屋租赁协议有关条款进行处置。</w:t>
      </w:r>
    </w:p>
    <w:p>
      <w:pPr>
        <w:spacing w:line="480" w:lineRule="exact"/>
        <w:ind w:firstLine="480"/>
        <w:rPr>
          <w:b/>
          <w:bCs/>
          <w:sz w:val="28"/>
        </w:rPr>
      </w:pPr>
    </w:p>
    <w:p>
      <w:pPr>
        <w:numPr>
          <w:ilvl w:val="0"/>
          <w:numId w:val="1"/>
        </w:numPr>
        <w:spacing w:line="480" w:lineRule="exact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本责任书一式叁份，甲方执贰份、乙方执壹份，严格信守。</w:t>
      </w:r>
    </w:p>
    <w:p>
      <w:pPr>
        <w:numPr>
          <w:ilvl w:val="0"/>
          <w:numId w:val="1"/>
        </w:numPr>
        <w:spacing w:line="480" w:lineRule="exact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本责任书签订之日起生效。</w:t>
      </w:r>
    </w:p>
    <w:p>
      <w:pPr>
        <w:tabs>
          <w:tab w:val="left" w:pos="960"/>
        </w:tabs>
        <w:spacing w:line="480" w:lineRule="exact"/>
        <w:ind w:left="960"/>
        <w:rPr>
          <w:b/>
          <w:bCs/>
          <w:sz w:val="28"/>
        </w:rPr>
      </w:pPr>
    </w:p>
    <w:p>
      <w:pPr>
        <w:spacing w:line="480" w:lineRule="exact"/>
        <w:rPr>
          <w:sz w:val="24"/>
          <w:u w:val="single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u w:val="single"/>
        </w:rPr>
        <w:t xml:space="preserve">                                                                    </w:t>
      </w:r>
    </w:p>
    <w:p>
      <w:pPr>
        <w:spacing w:line="48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</w:t>
      </w:r>
    </w:p>
    <w:p>
      <w:pPr>
        <w:spacing w:line="48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</w:t>
      </w:r>
    </w:p>
    <w:p>
      <w:pPr>
        <w:spacing w:line="480" w:lineRule="exact"/>
        <w:rPr>
          <w:sz w:val="24"/>
          <w:u w:val="single"/>
        </w:rPr>
      </w:pPr>
    </w:p>
    <w:p>
      <w:pPr>
        <w:spacing w:line="480" w:lineRule="exact"/>
        <w:ind w:right="270" w:rightChars="75"/>
        <w:rPr>
          <w:sz w:val="24"/>
          <w:u w:val="single"/>
        </w:rPr>
      </w:pPr>
    </w:p>
    <w:p>
      <w:pPr>
        <w:spacing w:line="480" w:lineRule="exact"/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</w:rPr>
        <w:t>甲方：（盖章）：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</w:t>
      </w:r>
    </w:p>
    <w:p>
      <w:pPr>
        <w:spacing w:line="480" w:lineRule="exact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代表：（签字）</w:t>
      </w:r>
    </w:p>
    <w:p>
      <w:pPr>
        <w:spacing w:line="480" w:lineRule="exact"/>
        <w:rPr>
          <w:rFonts w:hint="eastAsia"/>
          <w:b/>
          <w:bCs/>
          <w:sz w:val="28"/>
          <w:szCs w:val="28"/>
        </w:rPr>
      </w:pPr>
    </w:p>
    <w:p>
      <w:pPr>
        <w:spacing w:line="480" w:lineRule="exact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乙方：（盖章）：</w:t>
      </w:r>
      <w:r>
        <w:rPr>
          <w:rFonts w:hint="eastAsia"/>
          <w:b/>
          <w:bCs/>
          <w:sz w:val="28"/>
          <w:lang w:val="en-US" w:eastAsia="zh-CN"/>
        </w:rPr>
        <w:t xml:space="preserve"> </w:t>
      </w:r>
      <w:r>
        <w:rPr>
          <w:rFonts w:hint="eastAsia"/>
          <w:b/>
          <w:bCs/>
          <w:sz w:val="28"/>
        </w:rPr>
        <w:t>代表：（签字）</w:t>
      </w:r>
    </w:p>
    <w:p>
      <w:pPr>
        <w:spacing w:line="480" w:lineRule="exact"/>
        <w:ind w:left="480"/>
        <w:rPr>
          <w:sz w:val="24"/>
        </w:rPr>
      </w:pPr>
    </w:p>
    <w:p>
      <w:pPr>
        <w:spacing w:line="480" w:lineRule="exact"/>
        <w:ind w:left="480" w:firstLine="2811" w:firstLineChars="1000"/>
        <w:rPr>
          <w:b/>
          <w:bCs/>
          <w:sz w:val="28"/>
        </w:rPr>
      </w:pPr>
      <w:r>
        <w:rPr>
          <w:rFonts w:hint="eastAsia"/>
          <w:b/>
          <w:bCs/>
          <w:sz w:val="28"/>
        </w:rPr>
        <w:t xml:space="preserve">              </w:t>
      </w:r>
      <w:r>
        <w:rPr>
          <w:b/>
          <w:bCs/>
          <w:sz w:val="28"/>
        </w:rPr>
        <w:t>20</w:t>
      </w:r>
      <w:r>
        <w:rPr>
          <w:rFonts w:hint="eastAsia"/>
          <w:b/>
          <w:bCs/>
          <w:sz w:val="28"/>
        </w:rPr>
        <w:t>21年    月   日</w:t>
      </w:r>
      <w:bookmarkStart w:id="0" w:name="_GoBack"/>
      <w:bookmarkEnd w:id="0"/>
    </w:p>
    <w:p>
      <w:pPr>
        <w:spacing w:line="480" w:lineRule="exact"/>
      </w:pPr>
    </w:p>
    <w:sectPr>
      <w:footerReference r:id="rId3" w:type="default"/>
      <w:pgSz w:w="11906" w:h="16838"/>
      <w:pgMar w:top="2126" w:right="1800" w:bottom="1440" w:left="1800" w:header="851" w:footer="992" w:gutter="0"/>
      <w:cols w:space="425" w:num="1"/>
      <w:docGrid w:type="lines" w:linePitch="4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lvl w:ilvl="0" w:tentative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</w:lvl>
    <w:lvl w:ilvl="1" w:tentative="0">
      <w:start w:val="1"/>
      <w:numFmt w:val="decimal"/>
      <w:lvlText w:val="%2、"/>
      <w:lvlJc w:val="left"/>
      <w:pPr>
        <w:tabs>
          <w:tab w:val="left" w:pos="1260"/>
        </w:tabs>
        <w:ind w:left="126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2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2B2"/>
    <w:rsid w:val="000004FD"/>
    <w:rsid w:val="00003D35"/>
    <w:rsid w:val="0001508C"/>
    <w:rsid w:val="00017EBE"/>
    <w:rsid w:val="00031939"/>
    <w:rsid w:val="0004045D"/>
    <w:rsid w:val="0006178F"/>
    <w:rsid w:val="00064F85"/>
    <w:rsid w:val="00090FD8"/>
    <w:rsid w:val="00092E9D"/>
    <w:rsid w:val="000A4EA7"/>
    <w:rsid w:val="000A68C5"/>
    <w:rsid w:val="000A74EA"/>
    <w:rsid w:val="000B3629"/>
    <w:rsid w:val="000B4289"/>
    <w:rsid w:val="000D0A92"/>
    <w:rsid w:val="000D4232"/>
    <w:rsid w:val="000E523A"/>
    <w:rsid w:val="001049E4"/>
    <w:rsid w:val="00104F75"/>
    <w:rsid w:val="0011091F"/>
    <w:rsid w:val="00110BD6"/>
    <w:rsid w:val="00113031"/>
    <w:rsid w:val="00117FC6"/>
    <w:rsid w:val="0012349E"/>
    <w:rsid w:val="0012387D"/>
    <w:rsid w:val="00125543"/>
    <w:rsid w:val="00130908"/>
    <w:rsid w:val="0013667B"/>
    <w:rsid w:val="00136CDC"/>
    <w:rsid w:val="00154EAB"/>
    <w:rsid w:val="00162E30"/>
    <w:rsid w:val="00163FD2"/>
    <w:rsid w:val="0016533A"/>
    <w:rsid w:val="00174B1F"/>
    <w:rsid w:val="00176246"/>
    <w:rsid w:val="001851E2"/>
    <w:rsid w:val="0018738E"/>
    <w:rsid w:val="00190918"/>
    <w:rsid w:val="001955F0"/>
    <w:rsid w:val="001A4E00"/>
    <w:rsid w:val="001B4D29"/>
    <w:rsid w:val="001C06C4"/>
    <w:rsid w:val="001D5B16"/>
    <w:rsid w:val="001D5EF6"/>
    <w:rsid w:val="001D70ED"/>
    <w:rsid w:val="001E372A"/>
    <w:rsid w:val="001E3E5C"/>
    <w:rsid w:val="001E5BAC"/>
    <w:rsid w:val="00224D5F"/>
    <w:rsid w:val="0024561C"/>
    <w:rsid w:val="0024779A"/>
    <w:rsid w:val="0025080F"/>
    <w:rsid w:val="002577E5"/>
    <w:rsid w:val="0026163F"/>
    <w:rsid w:val="00262838"/>
    <w:rsid w:val="00263C50"/>
    <w:rsid w:val="00264D51"/>
    <w:rsid w:val="00286742"/>
    <w:rsid w:val="00293D87"/>
    <w:rsid w:val="00295246"/>
    <w:rsid w:val="002A4E76"/>
    <w:rsid w:val="002A616A"/>
    <w:rsid w:val="002A6FB4"/>
    <w:rsid w:val="002A7D4B"/>
    <w:rsid w:val="002B1BCE"/>
    <w:rsid w:val="002B1EB2"/>
    <w:rsid w:val="002B43E9"/>
    <w:rsid w:val="002D18BF"/>
    <w:rsid w:val="002F3191"/>
    <w:rsid w:val="00302AE9"/>
    <w:rsid w:val="00315D81"/>
    <w:rsid w:val="0032091F"/>
    <w:rsid w:val="003223D9"/>
    <w:rsid w:val="003429C3"/>
    <w:rsid w:val="00344B88"/>
    <w:rsid w:val="003458FB"/>
    <w:rsid w:val="003507B8"/>
    <w:rsid w:val="00350EBF"/>
    <w:rsid w:val="0035663A"/>
    <w:rsid w:val="00364FC7"/>
    <w:rsid w:val="00387BAE"/>
    <w:rsid w:val="00394A11"/>
    <w:rsid w:val="00397749"/>
    <w:rsid w:val="003A29A5"/>
    <w:rsid w:val="003A3283"/>
    <w:rsid w:val="003A3B5E"/>
    <w:rsid w:val="003C1118"/>
    <w:rsid w:val="003C74BC"/>
    <w:rsid w:val="003D587F"/>
    <w:rsid w:val="003E1A3F"/>
    <w:rsid w:val="003E3621"/>
    <w:rsid w:val="003F68E3"/>
    <w:rsid w:val="004069EC"/>
    <w:rsid w:val="004615D6"/>
    <w:rsid w:val="00462DC0"/>
    <w:rsid w:val="00474F5E"/>
    <w:rsid w:val="004803AB"/>
    <w:rsid w:val="0049239A"/>
    <w:rsid w:val="00494B4C"/>
    <w:rsid w:val="004A5D68"/>
    <w:rsid w:val="004B6467"/>
    <w:rsid w:val="004C44D5"/>
    <w:rsid w:val="004C666B"/>
    <w:rsid w:val="004D09C2"/>
    <w:rsid w:val="004F47FA"/>
    <w:rsid w:val="005122CC"/>
    <w:rsid w:val="00514648"/>
    <w:rsid w:val="00532522"/>
    <w:rsid w:val="005354D5"/>
    <w:rsid w:val="005365E1"/>
    <w:rsid w:val="00537F2F"/>
    <w:rsid w:val="005415F2"/>
    <w:rsid w:val="0055583B"/>
    <w:rsid w:val="00555D33"/>
    <w:rsid w:val="005560E5"/>
    <w:rsid w:val="00557592"/>
    <w:rsid w:val="0056104B"/>
    <w:rsid w:val="00563195"/>
    <w:rsid w:val="00572525"/>
    <w:rsid w:val="00572EA6"/>
    <w:rsid w:val="0057550A"/>
    <w:rsid w:val="005843EF"/>
    <w:rsid w:val="00585D05"/>
    <w:rsid w:val="00587086"/>
    <w:rsid w:val="00596EF1"/>
    <w:rsid w:val="005A2601"/>
    <w:rsid w:val="005D43E7"/>
    <w:rsid w:val="005E419B"/>
    <w:rsid w:val="005F4262"/>
    <w:rsid w:val="005F6ABD"/>
    <w:rsid w:val="00603978"/>
    <w:rsid w:val="00622F19"/>
    <w:rsid w:val="006340EC"/>
    <w:rsid w:val="006341A1"/>
    <w:rsid w:val="00643442"/>
    <w:rsid w:val="00646F77"/>
    <w:rsid w:val="0065498E"/>
    <w:rsid w:val="00664DC4"/>
    <w:rsid w:val="00664E11"/>
    <w:rsid w:val="006655E4"/>
    <w:rsid w:val="006712C1"/>
    <w:rsid w:val="00680D56"/>
    <w:rsid w:val="00681D2E"/>
    <w:rsid w:val="0069117C"/>
    <w:rsid w:val="006972F4"/>
    <w:rsid w:val="006A0204"/>
    <w:rsid w:val="006A5D35"/>
    <w:rsid w:val="006A7DF4"/>
    <w:rsid w:val="006B189E"/>
    <w:rsid w:val="006D396F"/>
    <w:rsid w:val="006D5D51"/>
    <w:rsid w:val="006E34A2"/>
    <w:rsid w:val="006F03A1"/>
    <w:rsid w:val="006F28F6"/>
    <w:rsid w:val="006F340E"/>
    <w:rsid w:val="007037ED"/>
    <w:rsid w:val="007102A0"/>
    <w:rsid w:val="00712241"/>
    <w:rsid w:val="00716AEB"/>
    <w:rsid w:val="00731CBA"/>
    <w:rsid w:val="00734482"/>
    <w:rsid w:val="00736ABD"/>
    <w:rsid w:val="00752E46"/>
    <w:rsid w:val="00753E51"/>
    <w:rsid w:val="0075437B"/>
    <w:rsid w:val="00767232"/>
    <w:rsid w:val="00774133"/>
    <w:rsid w:val="00774B18"/>
    <w:rsid w:val="007A7500"/>
    <w:rsid w:val="007B21A5"/>
    <w:rsid w:val="007B49FF"/>
    <w:rsid w:val="007C5C73"/>
    <w:rsid w:val="007D2AD5"/>
    <w:rsid w:val="007F1B3E"/>
    <w:rsid w:val="0081512A"/>
    <w:rsid w:val="00815239"/>
    <w:rsid w:val="00815BF9"/>
    <w:rsid w:val="00831284"/>
    <w:rsid w:val="00836BC5"/>
    <w:rsid w:val="00837B1F"/>
    <w:rsid w:val="00843CC8"/>
    <w:rsid w:val="0084583C"/>
    <w:rsid w:val="00865E32"/>
    <w:rsid w:val="00872575"/>
    <w:rsid w:val="00875BCA"/>
    <w:rsid w:val="0088722E"/>
    <w:rsid w:val="00895C39"/>
    <w:rsid w:val="008D0C10"/>
    <w:rsid w:val="008D18A8"/>
    <w:rsid w:val="008D625A"/>
    <w:rsid w:val="008D6D6C"/>
    <w:rsid w:val="008E53D6"/>
    <w:rsid w:val="00901424"/>
    <w:rsid w:val="00902C35"/>
    <w:rsid w:val="009161C8"/>
    <w:rsid w:val="00922191"/>
    <w:rsid w:val="0092552F"/>
    <w:rsid w:val="00930DF0"/>
    <w:rsid w:val="0094444F"/>
    <w:rsid w:val="00946CFA"/>
    <w:rsid w:val="00966147"/>
    <w:rsid w:val="00982426"/>
    <w:rsid w:val="009A31C1"/>
    <w:rsid w:val="009C0F3D"/>
    <w:rsid w:val="009C4C55"/>
    <w:rsid w:val="009F3AD8"/>
    <w:rsid w:val="009F55A1"/>
    <w:rsid w:val="009F618E"/>
    <w:rsid w:val="009F6F69"/>
    <w:rsid w:val="00A00722"/>
    <w:rsid w:val="00A04498"/>
    <w:rsid w:val="00A05288"/>
    <w:rsid w:val="00A13631"/>
    <w:rsid w:val="00A2350A"/>
    <w:rsid w:val="00A3223B"/>
    <w:rsid w:val="00A548C7"/>
    <w:rsid w:val="00A55074"/>
    <w:rsid w:val="00A71514"/>
    <w:rsid w:val="00A76B60"/>
    <w:rsid w:val="00A90814"/>
    <w:rsid w:val="00A95651"/>
    <w:rsid w:val="00A957E8"/>
    <w:rsid w:val="00AB20EC"/>
    <w:rsid w:val="00AB63EA"/>
    <w:rsid w:val="00AC63B9"/>
    <w:rsid w:val="00AE1BCE"/>
    <w:rsid w:val="00AE78E1"/>
    <w:rsid w:val="00B2514C"/>
    <w:rsid w:val="00B3269C"/>
    <w:rsid w:val="00B3639F"/>
    <w:rsid w:val="00B46B02"/>
    <w:rsid w:val="00B557D3"/>
    <w:rsid w:val="00B60498"/>
    <w:rsid w:val="00B62DCB"/>
    <w:rsid w:val="00B647A9"/>
    <w:rsid w:val="00B65130"/>
    <w:rsid w:val="00B6615C"/>
    <w:rsid w:val="00B71F67"/>
    <w:rsid w:val="00B73B5C"/>
    <w:rsid w:val="00B74593"/>
    <w:rsid w:val="00B8169F"/>
    <w:rsid w:val="00B82F89"/>
    <w:rsid w:val="00B97E4C"/>
    <w:rsid w:val="00BB05CB"/>
    <w:rsid w:val="00BB30B5"/>
    <w:rsid w:val="00BC3852"/>
    <w:rsid w:val="00BD0FEA"/>
    <w:rsid w:val="00BD3C77"/>
    <w:rsid w:val="00BE1EDC"/>
    <w:rsid w:val="00BF563A"/>
    <w:rsid w:val="00BF6E8F"/>
    <w:rsid w:val="00C0119C"/>
    <w:rsid w:val="00C0335E"/>
    <w:rsid w:val="00C03EB4"/>
    <w:rsid w:val="00C2232D"/>
    <w:rsid w:val="00C34CB8"/>
    <w:rsid w:val="00C37857"/>
    <w:rsid w:val="00C606E2"/>
    <w:rsid w:val="00C63D41"/>
    <w:rsid w:val="00C75630"/>
    <w:rsid w:val="00CC1964"/>
    <w:rsid w:val="00CC202C"/>
    <w:rsid w:val="00CD3430"/>
    <w:rsid w:val="00CD48CD"/>
    <w:rsid w:val="00CD49D5"/>
    <w:rsid w:val="00CF0CF7"/>
    <w:rsid w:val="00CF1B4C"/>
    <w:rsid w:val="00D07901"/>
    <w:rsid w:val="00D16F58"/>
    <w:rsid w:val="00D259A8"/>
    <w:rsid w:val="00D30CBE"/>
    <w:rsid w:val="00D42525"/>
    <w:rsid w:val="00D441A1"/>
    <w:rsid w:val="00D5209C"/>
    <w:rsid w:val="00D56794"/>
    <w:rsid w:val="00D61F75"/>
    <w:rsid w:val="00D6205A"/>
    <w:rsid w:val="00D706D1"/>
    <w:rsid w:val="00D9096B"/>
    <w:rsid w:val="00DA32CD"/>
    <w:rsid w:val="00DB3002"/>
    <w:rsid w:val="00DB6BE2"/>
    <w:rsid w:val="00DB6FD4"/>
    <w:rsid w:val="00DC088D"/>
    <w:rsid w:val="00DC2004"/>
    <w:rsid w:val="00DC4C1B"/>
    <w:rsid w:val="00DC67F1"/>
    <w:rsid w:val="00DC6B42"/>
    <w:rsid w:val="00DE0DA5"/>
    <w:rsid w:val="00DE1E42"/>
    <w:rsid w:val="00DE4C10"/>
    <w:rsid w:val="00E026FA"/>
    <w:rsid w:val="00E044D1"/>
    <w:rsid w:val="00E07DAD"/>
    <w:rsid w:val="00E14A30"/>
    <w:rsid w:val="00E324D0"/>
    <w:rsid w:val="00E41C23"/>
    <w:rsid w:val="00E428F9"/>
    <w:rsid w:val="00E4646C"/>
    <w:rsid w:val="00E51E6E"/>
    <w:rsid w:val="00E526EB"/>
    <w:rsid w:val="00E642B2"/>
    <w:rsid w:val="00E67696"/>
    <w:rsid w:val="00E749A4"/>
    <w:rsid w:val="00E81A00"/>
    <w:rsid w:val="00E97FB8"/>
    <w:rsid w:val="00EA067E"/>
    <w:rsid w:val="00EA104D"/>
    <w:rsid w:val="00EB2142"/>
    <w:rsid w:val="00EC4757"/>
    <w:rsid w:val="00EE15F5"/>
    <w:rsid w:val="00EE1905"/>
    <w:rsid w:val="00EE5A16"/>
    <w:rsid w:val="00EF32FA"/>
    <w:rsid w:val="00F11367"/>
    <w:rsid w:val="00F11957"/>
    <w:rsid w:val="00F12269"/>
    <w:rsid w:val="00F12BB1"/>
    <w:rsid w:val="00F13B67"/>
    <w:rsid w:val="00F22C14"/>
    <w:rsid w:val="00F23AEB"/>
    <w:rsid w:val="00F26AAE"/>
    <w:rsid w:val="00F271E3"/>
    <w:rsid w:val="00F30FF5"/>
    <w:rsid w:val="00F310FB"/>
    <w:rsid w:val="00F362E5"/>
    <w:rsid w:val="00F448D3"/>
    <w:rsid w:val="00F534AD"/>
    <w:rsid w:val="00F630EC"/>
    <w:rsid w:val="00F6763E"/>
    <w:rsid w:val="00F71401"/>
    <w:rsid w:val="00F72DC6"/>
    <w:rsid w:val="00F8388E"/>
    <w:rsid w:val="00F841A3"/>
    <w:rsid w:val="00F863ED"/>
    <w:rsid w:val="00F961C9"/>
    <w:rsid w:val="00FA6BB3"/>
    <w:rsid w:val="00FC3C6B"/>
    <w:rsid w:val="00FD1F5C"/>
    <w:rsid w:val="05D314F8"/>
    <w:rsid w:val="0A3559F1"/>
    <w:rsid w:val="0A88372B"/>
    <w:rsid w:val="0A8B5B45"/>
    <w:rsid w:val="0D7C4DB8"/>
    <w:rsid w:val="10770831"/>
    <w:rsid w:val="14884C29"/>
    <w:rsid w:val="156C770F"/>
    <w:rsid w:val="19135C7D"/>
    <w:rsid w:val="19CF1F15"/>
    <w:rsid w:val="1AA228D8"/>
    <w:rsid w:val="1B200533"/>
    <w:rsid w:val="21DE5C1D"/>
    <w:rsid w:val="24347D5F"/>
    <w:rsid w:val="259234D2"/>
    <w:rsid w:val="2DED7784"/>
    <w:rsid w:val="314313B2"/>
    <w:rsid w:val="31B12D3F"/>
    <w:rsid w:val="36B52C59"/>
    <w:rsid w:val="39E539C0"/>
    <w:rsid w:val="40177710"/>
    <w:rsid w:val="41AE73C9"/>
    <w:rsid w:val="45BF5573"/>
    <w:rsid w:val="46082494"/>
    <w:rsid w:val="49F77889"/>
    <w:rsid w:val="4B2A06DC"/>
    <w:rsid w:val="4D703CC7"/>
    <w:rsid w:val="501C0B09"/>
    <w:rsid w:val="52EA30E1"/>
    <w:rsid w:val="5B0C1360"/>
    <w:rsid w:val="5E9144C4"/>
    <w:rsid w:val="5ED3276B"/>
    <w:rsid w:val="618378B0"/>
    <w:rsid w:val="63BE083F"/>
    <w:rsid w:val="6855701D"/>
    <w:rsid w:val="69D3595A"/>
    <w:rsid w:val="6B4715BB"/>
    <w:rsid w:val="711A0363"/>
    <w:rsid w:val="720077EE"/>
    <w:rsid w:val="745B6C30"/>
    <w:rsid w:val="7464787F"/>
    <w:rsid w:val="74FD13CF"/>
    <w:rsid w:val="75535FDB"/>
    <w:rsid w:val="76E63950"/>
    <w:rsid w:val="7A3942BA"/>
    <w:rsid w:val="7C8F5695"/>
    <w:rsid w:val="7CCF1B3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6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0"/>
    <w:rPr>
      <w:sz w:val="18"/>
      <w:szCs w:val="18"/>
      <w:em w:val="underDot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  <w:em w:val="underDo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230</Words>
  <Characters>1313</Characters>
  <Lines>10</Lines>
  <Paragraphs>3</Paragraphs>
  <TotalTime>4</TotalTime>
  <ScaleCrop>false</ScaleCrop>
  <LinksUpToDate>false</LinksUpToDate>
  <CharactersWithSpaces>1540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2021-03-12T05:59:00Z</dcterms:created>
  <dc:creator>ltt</dc:creator>
  <cp:lastModifiedBy>hzcq04</cp:lastModifiedBy>
  <cp:lastPrinted>2018-10-18T01:21:00Z</cp:lastPrinted>
  <dcterms:modified xsi:type="dcterms:W3CDTF">2021-07-22T02:33:37Z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