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三里亭苑一区10幢703室等5处房产转让</w:t>
      </w:r>
      <w:r>
        <w:rPr>
          <w:rFonts w:hint="eastAsia" w:asciiTheme="minorEastAsia" w:hAnsiTheme="minorEastAsia" w:eastAsiaTheme="minorEastAsia"/>
          <w:szCs w:val="21"/>
        </w:rPr>
        <w:t>项目，现做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意向受让方须自行了解其对转让标的受让事项是否符合中国现行法律法规及标的所在地相关政策、房屋权属变更机构的相关规定，须自行承担无法过户的风险。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意向受让方须书面承诺：</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lang w:eastAsia="zh-CN"/>
        </w:rPr>
        <w:t>）同意被确定为受让方次日起3个工作日内携带报名时上传的主体资格证明等相关文件原件至杭交所完成现场确认和签署《成交通知书》、《资产交易合同》；受让方在《成交通知书》、《资产交易合同》签署次日起 20个工作日内向杭交所指定账户一次性支付交易服务费、交易价款等交易资金（《资产交易合同》签署当日，其交纳的交易保证金依次冲抵交易服务费，多余部分（若有）转为履约保证金，待应支付的剩余款项全部到账后，履约保证金再转为交易价款的一部分）（以到账时间为准）。通过“用户中心—未使用资金”对成交标的完成交易资金的确认付款操作。若受让方需要委托经纪会员或经纪会员指定的第三方办理权证过户手续的，经纪会员或经纪会员指定的第三方可提供有偿的权证过户服务，同时受让方还应自《成交通知书》签署次日起20个工作日内预付成交价2%款项（90㎡以上的住宅预付款按成交价的3%计收）作为办理权证过户手续的税、费（多退少补）。</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eastAsia="zh-CN"/>
        </w:rPr>
        <w:t>对符合按揭政策的受让方申请用杭交所指定银行支付交易价款并获得银行核准的，应在《成交通知书》、《资产交易合同》签署次日起5个工作日内向杭交所指定账户付清交易服务费、首付款及预付成交价2%款项（90㎡以上的住宅预付款按成交价的3%计收）作为办理权证过户手续的税、费（多退少补）（《资产交易合同》签署当日，其交纳的交易保证金依次冲抵交易服务费和首付款），同时向银行提交申请贷款的相关资料（详见银行提供的资料清单）。银行经审核，认为可以提供银行贷款的，通知杭交所和受让方，余款由银行贷款支付，受让方应积极配合。若由于受让方的原因，银行核准后没有放贷的，受让方应自收到银行通知之日起10个工作日内付清余款（已付的首付款可冲抵相应的成交款）。</w:t>
      </w:r>
      <w:bookmarkStart w:id="0" w:name="_GoBack"/>
      <w:bookmarkEnd w:id="0"/>
    </w:p>
    <w:p>
      <w:pPr>
        <w:numPr>
          <w:ilvl w:val="0"/>
          <w:numId w:val="0"/>
        </w:num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同意杭交所经转让方申请次日起3个工作日内将受让方已交纳的交易价款全部划转至转让方指定账户。</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lang w:eastAsia="zh-CN"/>
        </w:rPr>
        <w:t xml:space="preserve">）我方知悉并同意：受让方需自行了解是否完全符合国家及杭州市规定的购房条件，若因受让方原因造成所受让房屋无法过户，受让方所缴纳的购房款损失及其他经济损失均由受让方承担，与转让方及经纪会员无关，受让方已付交易服务费、履约保证金不予返还。 </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lang w:eastAsia="zh-CN"/>
        </w:rPr>
        <w:t xml:space="preserve">）同意在办理不动产权证变更登记手续时，有关职能部门要求提供文本合同的，应按照相关规定签订文本合同，但双方签订的该等文本合同仅作为办理登记手续之用，不作为双方的实际履行依据，双方权利义务关系均以《资产交易合同》为准。  </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lang w:eastAsia="zh-CN"/>
        </w:rPr>
        <w:t xml:space="preserve">）同意成交标的交割前所涉及标的拖欠的各种费用（包括物业管理费、水电费等）由转让方承担，相关费用由受让方先行垫付,物业管理费从交接次月起由受让方承担。水、电重新开户相关手续由受让方自行办理并承担相关费用。 </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lang w:eastAsia="zh-CN"/>
        </w:rPr>
        <w:t xml:space="preserve">）已知悉本次交易标的只限于权证核定的面积范围内，不包括标的外部的附属用房等。标的房屋如有漏水或需维修的情况，如有漏水或需维修的情况，均由受让方自理,转让方不承担任何费用和责任。 </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lang w:eastAsia="zh-CN"/>
        </w:rPr>
        <w:t xml:space="preserve">）已知悉并同意：如有户口未迁出的情况发生，杭交所通知转让方，转让方再通知原户主把户口迁出，但有关学区房孩子能否就读的情况请意向受让方自行查证，对此转让方、经纪会员、杭交所不做承诺。  </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lang w:eastAsia="zh-CN"/>
        </w:rPr>
        <w:t>）已知悉并同意：本次转让的交易标的目前土地使用类型为划拨。因办理交易标的权证过户时土地类型变化而产生的土地有偿使用费（包括但不限于土地租赁费或土地出让金等）由受让方承担。</w:t>
      </w:r>
    </w:p>
    <w:p>
      <w:pPr>
        <w:spacing w:line="360" w:lineRule="auto"/>
        <w:ind w:firstLine="420" w:firstLineChars="200"/>
        <w:rPr>
          <w:rFonts w:hint="eastAsia" w:asciiTheme="minorEastAsia" w:hAnsiTheme="minorEastAsia" w:eastAsiaTheme="minorEastAsia"/>
          <w:szCs w:val="21"/>
          <w:lang w:eastAsia="zh-CN"/>
        </w:rPr>
      </w:pPr>
      <w:r>
        <w:rPr>
          <w:rFonts w:hint="eastAsia" w:ascii="宋体" w:hAnsi="宋体" w:cs="宋体"/>
          <w:sz w:val="21"/>
          <w:szCs w:val="21"/>
          <w:lang w:eastAsia="zh-CN"/>
        </w:rPr>
        <w:t>（</w:t>
      </w:r>
      <w:r>
        <w:rPr>
          <w:rFonts w:hint="eastAsia" w:ascii="宋体" w:hAnsi="宋体" w:cs="宋体"/>
          <w:sz w:val="21"/>
          <w:szCs w:val="21"/>
          <w:lang w:val="en-US" w:eastAsia="zh-CN"/>
        </w:rPr>
        <w:t>9</w:t>
      </w:r>
      <w:r>
        <w:rPr>
          <w:rFonts w:hint="eastAsia" w:ascii="宋体" w:hAnsi="宋体" w:cs="宋体"/>
          <w:sz w:val="21"/>
          <w:szCs w:val="21"/>
          <w:lang w:eastAsia="zh-CN"/>
        </w:rPr>
        <w:t>）同意并知悉被确认为受让方后如果选择银行贷款支付交易价款的，同意由杭交所对受让方支付到产金所账户“个人中心-未使用资金“的首付款进行扣除。</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、同意按成交金额的2.5%交纳交易服务费。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w:t>
      </w:r>
      <w:r>
        <w:rPr>
          <w:rFonts w:hint="eastAsia" w:asciiTheme="minorEastAsia" w:hAnsiTheme="minorEastAsia" w:eastAsiaTheme="minorEastAsia"/>
          <w:szCs w:val="21"/>
        </w:rPr>
        <w:t>出现以下任一情况时，意向承租方交纳的保证金不予退还，先用于补偿杭交所、经纪会员的各项服务费，</w:t>
      </w:r>
      <w:r>
        <w:rPr>
          <w:rFonts w:asciiTheme="minorEastAsia" w:hAnsiTheme="minorEastAsia" w:eastAsiaTheme="minorEastAsia"/>
          <w:szCs w:val="21"/>
        </w:rPr>
        <w:t>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《资产交易合同》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asciiTheme="minorEastAsia" w:hAnsiTheme="minorEastAsia" w:eastAsiaTheme="minorEastAsia"/>
          <w:szCs w:val="21"/>
        </w:rPr>
        <w:t>）</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2021</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4852793"/>
    <w:rsid w:val="067F1ABA"/>
    <w:rsid w:val="0CCA5698"/>
    <w:rsid w:val="0EF20FF8"/>
    <w:rsid w:val="16DF27B1"/>
    <w:rsid w:val="1A4D26DA"/>
    <w:rsid w:val="26851B4D"/>
    <w:rsid w:val="2AE67843"/>
    <w:rsid w:val="30873003"/>
    <w:rsid w:val="30BD3CBE"/>
    <w:rsid w:val="381E3097"/>
    <w:rsid w:val="39347434"/>
    <w:rsid w:val="51B53AC1"/>
    <w:rsid w:val="610339B9"/>
    <w:rsid w:val="66E757BD"/>
    <w:rsid w:val="796C4E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customStyle="1" w:styleId="7">
    <w:name w:val="页眉 Char"/>
    <w:basedOn w:val="6"/>
    <w:link w:val="3"/>
    <w:semiHidden/>
    <w:qFormat/>
    <w:uiPriority w:val="99"/>
    <w:rPr>
      <w:rFonts w:ascii="Times New Roman" w:hAnsi="Times New Roman" w:eastAsia="宋体" w:cs="Times New Roman"/>
      <w:sz w:val="18"/>
      <w:szCs w:val="18"/>
    </w:rPr>
  </w:style>
  <w:style w:type="character" w:customStyle="1" w:styleId="8">
    <w:name w:val="页脚 Char"/>
    <w:basedOn w:val="6"/>
    <w:link w:val="2"/>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181</Words>
  <Characters>1036</Characters>
  <Lines>8</Lines>
  <Paragraphs>2</Paragraphs>
  <TotalTime>0</TotalTime>
  <ScaleCrop>false</ScaleCrop>
  <LinksUpToDate>false</LinksUpToDate>
  <CharactersWithSpaces>1215</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HJS-CL</cp:lastModifiedBy>
  <dcterms:modified xsi:type="dcterms:W3CDTF">2021-07-12T06:51:47Z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