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杭州市新州花苑商铺4、6、8、10、12、14、16、18号房屋5年租赁权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0732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租赁房屋无不动产权证，仅持有不动产权分割登记凭证，凭证备注载明该租赁房屋为保障性安居工程配套用房。承租方在该房屋内开展经营活动前，应向政府主管部门取得所有必要的执照、批准或许可证等，自行办理相关的程序和执照，承担由此产生的费用。承租方应确保该执照、批准或许可证在经营期限内完全有效，及在各方面均符合该执照、批准或许可证的规定。承租方承诺对上述租赁房屋权证证载的用途和租赁房屋现状、设施及房屋环境有充分了解，如因房屋规划用途和租赁用途不一致而导致未取得前述执照、批准或许可证的，所有损失由承租方自行承担，出租方不承担任何责任。并且，承租方在该房屋的经营活动不得违反有关的法律、法规，必须确保其经营的合法性，否则，承租方将承担因其不正当经营所造成的一切责任和后果。</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A8E212B"/>
    <w:rsid w:val="0B5A7007"/>
    <w:rsid w:val="0BE608D6"/>
    <w:rsid w:val="13493D1E"/>
    <w:rsid w:val="1F6665F8"/>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84</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2021-07-09T05:30:36Z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