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杭州市建国中路238号房屋</w:t>
      </w:r>
      <w:r>
        <w:rPr>
          <w:rFonts w:hint="eastAsia" w:ascii="宋体" w:hAnsi="宋体"/>
          <w:b/>
          <w:bCs w:val="0"/>
          <w:sz w:val="22"/>
          <w:u w:val="single"/>
          <w:lang w:val="en-US" w:eastAsia="zh-CN"/>
        </w:rPr>
        <w:t>3年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0706</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商业用房，不得经营餐饮、住宿、水产、棋牌、果蔬、计生用品及其他扰民行业，不得用于经营私人会所等高档消费场所。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w:t>
      </w:r>
      <w:r>
        <w:rPr>
          <w:rFonts w:hint="eastAsia" w:asciiTheme="minorEastAsia" w:hAnsiTheme="minorEastAsia" w:eastAsiaTheme="minorEastAsia"/>
          <w:szCs w:val="21"/>
        </w:rPr>
        <w:t>面积为</w:t>
      </w:r>
      <w:r>
        <w:rPr>
          <w:rFonts w:hint="eastAsia" w:asciiTheme="minorEastAsia" w:hAnsiTheme="minorEastAsia" w:eastAsiaTheme="minorEastAsia"/>
          <w:szCs w:val="21"/>
          <w:lang w:val="en-US" w:eastAsia="zh-CN"/>
        </w:rPr>
        <w:t>证载</w:t>
      </w:r>
      <w:r>
        <w:rPr>
          <w:rFonts w:hint="eastAsia" w:asciiTheme="minorEastAsia" w:hAnsiTheme="minorEastAsia" w:eastAsiaTheme="minorEastAsia"/>
          <w:szCs w:val="21"/>
        </w:rPr>
        <w:t>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hint="eastAsia" w:ascii="pingfang sc regular" w:hAnsi="pingfang sc regular" w:eastAsia="宋体" w:cs="Times New Roma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交纳交易服务费</w:t>
      </w:r>
      <w:r>
        <w:rPr>
          <w:rFonts w:hint="eastAsia" w:ascii="pingfang sc regular" w:hAnsi="pingfang sc regular" w:cs="Times New Roman"/>
          <w:b/>
          <w:bCs/>
          <w:lang w:eastAsia="zh-CN"/>
        </w:rPr>
        <w:t>，</w:t>
      </w:r>
      <w:r>
        <w:rPr>
          <w:rFonts w:hint="eastAsia" w:ascii="pingfang sc regular" w:hAnsi="pingfang sc regular" w:eastAsia="宋体" w:cs="Times New Roman"/>
          <w:b/>
          <w:bCs/>
        </w:rPr>
        <w:t>按</w:t>
      </w:r>
      <w:r>
        <w:rPr>
          <w:rFonts w:hint="eastAsia" w:ascii="pingfang sc regular" w:hAnsi="pingfang sc regular" w:cs="Times New Roman"/>
          <w:b/>
          <w:bCs/>
          <w:lang w:val="en-US" w:eastAsia="zh-CN"/>
        </w:rPr>
        <w:t>如下标准收取</w:t>
      </w:r>
      <w:r>
        <w:rPr>
          <w:rFonts w:hint="eastAsia" w:ascii="pingfang sc regular" w:hAnsi="pingfang sc regular" w:cs="Times New Roman"/>
          <w:b/>
          <w:bCs/>
          <w:lang w:eastAsia="zh-CN"/>
        </w:rPr>
        <w:t>：</w:t>
      </w:r>
      <w:r>
        <w:rPr>
          <w:rFonts w:hint="eastAsia" w:ascii="pingfang sc regular" w:hAnsi="pingfang sc regular" w:eastAsia="宋体" w:cs="Times New Roman"/>
        </w:rPr>
        <w:t>各年租金累计在800万元以下，交易服务费按各年租金累计额的2%计取。各年租金累计在800万元以上，交易服务费按各年租金累计额的1.5%计取。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D040D5"/>
    <w:rsid w:val="289F5356"/>
    <w:rsid w:val="2B825398"/>
    <w:rsid w:val="2EDF16DA"/>
    <w:rsid w:val="3099405C"/>
    <w:rsid w:val="397F11DB"/>
    <w:rsid w:val="39A8199F"/>
    <w:rsid w:val="39B851B0"/>
    <w:rsid w:val="3CA4327A"/>
    <w:rsid w:val="3E944C68"/>
    <w:rsid w:val="3E9829CD"/>
    <w:rsid w:val="3F645A79"/>
    <w:rsid w:val="42367D7B"/>
    <w:rsid w:val="431459CC"/>
    <w:rsid w:val="433B6BC1"/>
    <w:rsid w:val="49685C71"/>
    <w:rsid w:val="4AFA7355"/>
    <w:rsid w:val="4D1E7FB4"/>
    <w:rsid w:val="4D8A3E08"/>
    <w:rsid w:val="4E066D25"/>
    <w:rsid w:val="529A73B4"/>
    <w:rsid w:val="566C5F16"/>
    <w:rsid w:val="666B305D"/>
    <w:rsid w:val="67DD46EA"/>
    <w:rsid w:val="68BD0463"/>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2021-07-07T03:24:51Z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