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Theme="minorEastAsia" w:hAnsiTheme="minorEastAsia" w:eastAsiaTheme="minorEastAsia"/>
          <w:b/>
          <w:bCs/>
          <w:szCs w:val="21"/>
          <w:u w:val="none"/>
          <w:lang w:val="en-US" w:eastAsia="zh-CN"/>
        </w:rPr>
      </w:pPr>
      <w:r>
        <w:rPr>
          <w:rFonts w:hint="eastAsia" w:asciiTheme="minorEastAsia" w:hAnsiTheme="minorEastAsia" w:eastAsiaTheme="minorEastAsia"/>
          <w:b/>
          <w:bCs/>
          <w:szCs w:val="21"/>
          <w:u w:val="none"/>
          <w:lang w:val="en-US" w:eastAsia="zh-CN"/>
        </w:rPr>
        <w:t>承诺函</w:t>
      </w:r>
    </w:p>
    <w:p>
      <w:pPr>
        <w:spacing w:line="360" w:lineRule="auto"/>
        <w:rPr>
          <w:rFonts w:hint="eastAsia" w:asciiTheme="minorEastAsia" w:hAnsiTheme="minorEastAsia" w:eastAsiaTheme="minorEastAsia"/>
          <w:szCs w:val="21"/>
          <w:u w:val="none"/>
        </w:rPr>
      </w:pP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有限责任公司</w:t>
      </w:r>
      <w:r>
        <w:rPr>
          <w:rFonts w:asciiTheme="minorEastAsia" w:hAnsiTheme="minorEastAsia" w:eastAsiaTheme="minorEastAsia"/>
          <w:szCs w:val="21"/>
          <w:u w:val="none"/>
        </w:rPr>
        <w:t>：</w:t>
      </w: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lang w:val="en-US" w:eastAsia="zh-CN"/>
        </w:rPr>
        <w:t>杭州企业产权交易中心有限公司</w:t>
      </w:r>
      <w:r>
        <w:rPr>
          <w:rFonts w:hint="eastAsia" w:asciiTheme="minorEastAsia" w:hAnsiTheme="minorEastAsia" w:eastAsiaTheme="minorEastAsia"/>
          <w:szCs w:val="21"/>
          <w:u w:val="none"/>
        </w:rPr>
        <w:t>：</w:t>
      </w:r>
    </w:p>
    <w:p>
      <w:pPr>
        <w:spacing w:line="360" w:lineRule="auto"/>
        <w:ind w:firstLine="420" w:firstLineChars="200"/>
        <w:rPr>
          <w:rFonts w:asciiTheme="minorEastAsia" w:hAnsiTheme="minorEastAsia" w:eastAsiaTheme="minorEastAsia"/>
          <w:szCs w:val="21"/>
          <w:u w:val="none"/>
        </w:rPr>
      </w:pPr>
      <w:r>
        <w:rPr>
          <w:rFonts w:hint="eastAsia" w:asciiTheme="minorEastAsia" w:hAnsiTheme="minorEastAsia" w:eastAsiaTheme="minorEastAsia"/>
          <w:szCs w:val="21"/>
          <w:u w:val="none"/>
        </w:rPr>
        <w:t>我方拟受让杭州市西湖区三墩公交停保基地部分房屋7年租赁权</w:t>
      </w:r>
      <w:bookmarkStart w:id="0" w:name="_GoBack"/>
      <w:bookmarkEnd w:id="0"/>
      <w:r>
        <w:rPr>
          <w:rFonts w:hint="eastAsia" w:asciiTheme="minorEastAsia" w:hAnsiTheme="minorEastAsia" w:eastAsiaTheme="minorEastAsia"/>
          <w:szCs w:val="21"/>
          <w:u w:val="none"/>
        </w:rPr>
        <w:t>项目（标的编号</w:t>
      </w:r>
      <w:r>
        <w:rPr>
          <w:rFonts w:hint="eastAsia" w:asciiTheme="minorEastAsia" w:hAnsiTheme="minorEastAsia" w:eastAsiaTheme="minorEastAsia"/>
          <w:szCs w:val="21"/>
          <w:u w:val="none"/>
          <w:lang w:val="en-US" w:eastAsia="zh-CN"/>
        </w:rPr>
        <w:t>:HJS2021ZL0671</w:t>
      </w:r>
      <w:r>
        <w:rPr>
          <w:rFonts w:hint="eastAsia" w:asciiTheme="minorEastAsia" w:hAnsiTheme="minorEastAsia" w:eastAsiaTheme="minorEastAsia"/>
          <w:szCs w:val="21"/>
          <w:u w:val="none"/>
        </w:rPr>
        <w:t>），现做</w:t>
      </w:r>
      <w:r>
        <w:rPr>
          <w:rFonts w:asciiTheme="minorEastAsia" w:hAnsiTheme="minorEastAsia" w:eastAsiaTheme="minorEastAsia"/>
          <w:szCs w:val="21"/>
          <w:u w:val="none"/>
        </w:rPr>
        <w:t>如下承诺：</w:t>
      </w:r>
    </w:p>
    <w:p>
      <w:pPr>
        <w:spacing w:line="360" w:lineRule="auto"/>
        <w:ind w:firstLine="420" w:firstLineChars="200"/>
        <w:rPr>
          <w:rFonts w:hint="eastAsia" w:asciiTheme="minorEastAsia" w:hAnsiTheme="minorEastAsia" w:eastAsiaTheme="minorEastAsia"/>
          <w:szCs w:val="21"/>
          <w:u w:val="none"/>
        </w:rPr>
      </w:pPr>
      <w:r>
        <w:rPr>
          <w:rFonts w:hint="eastAsia" w:asciiTheme="minorEastAsia" w:hAnsiTheme="minorEastAsia" w:eastAsiaTheme="minorEastAsia"/>
          <w:szCs w:val="21"/>
          <w:u w:val="none"/>
        </w:rPr>
        <w:t>1、我</w:t>
      </w:r>
      <w:r>
        <w:rPr>
          <w:rFonts w:asciiTheme="minorEastAsia" w:hAnsiTheme="minorEastAsia" w:eastAsiaTheme="minorEastAsia"/>
          <w:szCs w:val="21"/>
          <w:u w:val="none"/>
        </w:rPr>
        <w:t>方已</w:t>
      </w:r>
      <w:r>
        <w:rPr>
          <w:rFonts w:hint="eastAsia" w:asciiTheme="minorEastAsia" w:hAnsiTheme="minorEastAsia" w:eastAsiaTheme="minorEastAsia"/>
          <w:szCs w:val="21"/>
          <w:u w:val="none"/>
        </w:rPr>
        <w:t>认真阅读、知悉并自愿遵守《杭州产权交易所房屋出租交易规则》、《杭州产权交易所O2O交易指引》和《杭州产权交易所在线报价交易须知》等文件的规定，同意按照相关规定参加本项目竞价活动。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u w:val="none"/>
        </w:rPr>
        <w:t>2、</w:t>
      </w:r>
      <w:r>
        <w:rPr>
          <w:rFonts w:hint="eastAsia" w:asciiTheme="minorEastAsia" w:hAnsiTheme="minorEastAsia" w:eastAsiaTheme="minorEastAsia"/>
          <w:szCs w:val="21"/>
        </w:rPr>
        <w:t>我方提交</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完成现场确认和签署《成交通知书》、《房屋租赁合同》等相关合同文件；并在《成交通知书》、《房屋租赁合同》等相关合同文件签署次日起 5 个工作日内向杭交所资金监管账户一次性支付首期租金、履约保证金、装修保证金及交易服务费等交易资金（以到账时间为准）。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u w:val="none"/>
        </w:rPr>
        <w:t>4、</w:t>
      </w:r>
      <w:r>
        <w:rPr>
          <w:rFonts w:hint="eastAsia" w:asciiTheme="minorEastAsia" w:hAnsiTheme="minorEastAsia" w:eastAsiaTheme="minorEastAsia"/>
          <w:szCs w:val="21"/>
        </w:rPr>
        <w:t>同意杭交所经出租方杭州市公共交通集团有限公司申请将我方已交纳的交易价款全部划转至出租方指定账户。</w:t>
      </w:r>
    </w:p>
    <w:p>
      <w:pPr>
        <w:spacing w:line="360" w:lineRule="auto"/>
        <w:ind w:firstLine="420" w:firstLineChars="200"/>
        <w:rPr>
          <w:rFonts w:hint="eastAsia" w:asciiTheme="minorEastAsia" w:hAnsiTheme="minorEastAsia" w:eastAsiaTheme="minorEastAsia"/>
          <w:szCs w:val="21"/>
          <w:u w:val="none"/>
        </w:rPr>
      </w:pPr>
      <w:r>
        <w:rPr>
          <w:rFonts w:hint="eastAsia" w:asciiTheme="minorEastAsia" w:hAnsiTheme="minorEastAsia" w:eastAsiaTheme="minorEastAsia"/>
          <w:szCs w:val="21"/>
          <w:u w:val="none"/>
        </w:rPr>
        <w:t>5、</w:t>
      </w: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1）我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已知悉并同意：我方</w:t>
      </w:r>
      <w:r>
        <w:rPr>
          <w:rFonts w:hint="eastAsia" w:asciiTheme="minorEastAsia" w:hAnsiTheme="minorEastAsia" w:eastAsiaTheme="minorEastAsia"/>
          <w:szCs w:val="21"/>
          <w:u w:val="none"/>
        </w:rPr>
        <w:t>在使用或运营过程中，相关配套比例不得的超过整体办公的40%，使用该房屋应遵守当地政府有关物业使用和物业管理的规定。</w:t>
      </w:r>
      <w:r>
        <w:rPr>
          <w:rFonts w:hint="eastAsia" w:asciiTheme="minorEastAsia" w:hAnsiTheme="minorEastAsia" w:eastAsiaTheme="minorEastAsia"/>
          <w:szCs w:val="21"/>
          <w:u w:val="none"/>
          <w:lang w:val="en-US" w:eastAsia="zh-CN"/>
        </w:rPr>
        <w:t>我</w:t>
      </w:r>
      <w:r>
        <w:rPr>
          <w:rFonts w:hint="eastAsia" w:asciiTheme="minorEastAsia" w:hAnsiTheme="minorEastAsia" w:eastAsiaTheme="minorEastAsia"/>
          <w:szCs w:val="21"/>
          <w:u w:val="none"/>
        </w:rPr>
        <w:t>方承诺使用承租房屋按照相关法律法规规定，进行合法招商运营；不引进P2P或容易引起群体性涉及维稳的业态；不用于从事产生环境污染或扰民项目；不从事易燃易爆物品的商业活动；不用作危化品的储存仓库；不使用、存放液化燃气瓶。从事的各项活动均符合国家法律、法规和有关规定，不经营不符合环保要求、存在消防安全隐患的经营项目，不经营有违社会道德的行业。未经出租方事先同意不用作其他用途，否则视为</w:t>
      </w:r>
      <w:r>
        <w:rPr>
          <w:rFonts w:hint="eastAsia" w:asciiTheme="minorEastAsia" w:hAnsiTheme="minorEastAsia" w:eastAsiaTheme="minorEastAsia"/>
          <w:szCs w:val="21"/>
          <w:u w:val="none"/>
          <w:lang w:val="en-US" w:eastAsia="zh-CN"/>
        </w:rPr>
        <w:t>我</w:t>
      </w:r>
      <w:r>
        <w:rPr>
          <w:rFonts w:hint="eastAsia" w:asciiTheme="minorEastAsia" w:hAnsiTheme="minorEastAsia" w:eastAsiaTheme="minorEastAsia"/>
          <w:szCs w:val="21"/>
          <w:u w:val="none"/>
        </w:rPr>
        <w:t>方严重违约。</w:t>
      </w:r>
      <w:r>
        <w:rPr>
          <w:rFonts w:hint="eastAsia" w:asciiTheme="minorEastAsia" w:hAnsiTheme="minorEastAsia" w:eastAsiaTheme="minorEastAsia"/>
          <w:szCs w:val="21"/>
          <w:u w:val="none"/>
          <w:lang w:val="en-US" w:eastAsia="zh-CN"/>
        </w:rPr>
        <w:t>我</w:t>
      </w:r>
      <w:r>
        <w:rPr>
          <w:rFonts w:hint="eastAsia" w:asciiTheme="minorEastAsia" w:hAnsiTheme="minorEastAsia" w:eastAsiaTheme="minorEastAsia"/>
          <w:szCs w:val="21"/>
          <w:u w:val="none"/>
        </w:rPr>
        <w:t>方在租赁期限内使用、招商、运营过程中，须将项目业态定位向出租方进行报批（含项目业态定位、布局及运营、管理方案），同意后实施，同时须尊重属地相关部门（街道）业态导向，做到整体业态符合区域发展方向及符合项目本体条件。</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2）我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出租方同意我方若对项目进行招商、运营可实施首次转租，所引进的单位需经出租方审核同意（需符合项目整体业态规划方向），禁止首次转租单位二次转租，同时我方应将与招商、运营引进单位的相关材料报出租方备案，否则视为我方严重违约。</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（3）我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租赁房屋已完成竣工验收备案，尚未完成不动产权证办理。我方也已明确知悉并接受租赁房屋的规划用途、产权情况、性质等限制条件，我方承诺不因此提出索赔。我方承诺对其租赁用途所需的相关审批、备案、办证等手续以及法律、法规、规章、政策要求均已清楚了解，对相应风险已知晓并自愿承担。我方同意在进行经营活动前，自行办理并取得政府有关部门（市场监督管理部门、住建、消防、规划等）批准的执照、批复、许可等相关的各种审批、手续等，费用由我方承担。出租方对我方因使用租赁房屋合法经营任何有关业态办理政府有关部门（市场监督管理部门、住建、消防、规划等）批准的执照、批复、许可等相关的各种审批、手续不作任何保证、不承担任何责任，我方承诺不因此提出索赔。</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（4）我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若我方需临时改变房屋（土地）使用用途，相关审批、手续由我方自行办理，由此产生的一切费用由承租方承担。对于相关部门是否批准，出租方不作任何保证、不承担任何责任，我方承诺不因此提出索赔。</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（5）我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租赁房屋1号楼综合楼2层部分原设计有厨房功能，我方已悉知房屋现场现状。若我方需启用厨房功能，需自行取得相关合法许可，并配备灭火毯、灭火器等消防设施，定期清洗油烟管道，设置厨房设施设备固定接电装置，做好相关安全检查记录，不得使用、存放液化燃气瓶。</w:t>
      </w:r>
    </w:p>
    <w:p>
      <w:pPr>
        <w:spacing w:line="360" w:lineRule="auto"/>
        <w:ind w:firstLine="420" w:firstLineChars="200"/>
        <w:rPr>
          <w:rFonts w:hint="default"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（6）我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已知悉并同意：我方承租后在租赁房屋现场设置固定团队进行现场运营、管理。</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7）我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租赁房屋以现状进行移交，我方负责租赁房屋及全部设施设备的启用、维修、保养、年检、更新、改造。若租赁房屋现状或租赁期内因房屋本身质量原因造成的主体结构漏水、渗水及沉降等现象的，出租方需承担维修工作，与此相关的费用由出租方承担。若租赁期内出现因我方装修、改造等原因造成的房屋（含主体结构）漏水、渗水及沉降等现象的，我方需承担维修工作，与此相关的费用也均由我方承担。若租赁房屋现状或移交时存在玻璃破损、门锁损坏的现象，相关维修、更换及产生的相关费用均由我方承担。</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（8）我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装修涉及的消防、规划审批手续由我方自行办理。我方如对房屋进行装修需按出租方要求进行装修书面报批（含装修投入及改造内容及费用，根据《经营性物产装修审批单（外部）》要求进行报批），待出租方审批通过，出具书面同意后方能进场施工，否则视为我方严重违约。</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（9）我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我方如对房屋室内进行装修、对房屋结构、供水供电、消防系统、排水排污原有管道、线路、监控等进行改变、调整或扩容的，必须事先按规定向有关部门办理申报手续并批准后，向出租方提供详细的书面方案及装修、改造图纸，并征得出租方的书面同意后才能动工，否则出租方有权责令我方停工，如我方拒绝停工的，视为我方严重违约。相关装修及改造、扩容等调整涉及的所有费用均由我方自行承担。如出租方要求装修图纸经第三方确认的，相关费用由我方自行承担。上述改变调整及房屋装修完工后，应通过消防部门及其他相关部门验收合格，方可投入使用。我方在房屋装修结束后需提供给出租方一套完整的装修竣工图。对装修、扩容后引起的所有风险一律由我方自行承担，出租方对于是否满足扩容条件不做任何保证。</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（10）我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如我方擅自改变房屋结构或因使用不当造成房屋或设施损坏的，我方承诺立即负责修复并承担由此引起的一切经济损失。我方在使用过程中，由于管理不当或违规使用而造成房屋损失的，应由我方负责赔偿，我方添加的设施设备及装修由我方自行负责。由于我方的过错导致的事故而直接或间接造成出租方或物业服务公司或第三人人身或财产损失、损害，我方须承担全部法律及经济责任。</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（11）我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已知悉并同意：我方承租房屋后，租赁范围内的所有附属设备、设施的维护、更换和安全责任以及相应产生的费用均由我方承担和缴纳。我方拒不履行的，物业服务公司可代为维修，费用由我方承担。</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（12）我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已知悉并同意：对于租赁房屋涉及租赁范围内统一水、电计量的，我方需在该房屋移交之日起1个月内完成水、电分表（二级计量表）的安装，所有费用由我方自行承担。</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（13）我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租赁房屋的（■电梯/■消控设施/■其余附属设施、设备）如在移交房屋时不能正常使用，该设施设备的维修、保养义务由我方承担。如移交时电梯处于报停状态，与此相关的特种设施设备的启用、检测及领取相关合格证等事项全部由我方办理，与此相关的启用、检测、维修、保养等费用也均由我方承担，并且我方承诺在租赁期到期交还房屋时，保证租赁项目所有设施设备能正常使用，否则视为我方严重违约。</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（14）我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若租赁房屋租赁范围内涉及消防监控、报警阀间、强电间或相关公共设施设备区域的，我方承诺不对消防监控、报警阀及公共设施设备区域内的硬件及系统进行变动或移位或拆除，一切功能及设施设备保持原样，并负责对该区域做好安全管理工作，且不因此调整房屋租金。</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（15）我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租赁房屋现场已做好公交日常生产、营运区域与租赁房屋之间的隔离，我方承诺不擅自调整、拆除。租赁期内，若因我方原因需调整隔离位置、隔断材质等，需提前将分隔方案报出租方书面批准，出租方的审批并不能免除或减轻我方应承担的责任。未经出租方书面批准，我方改动、拆除的，出租方均有权要求我方限期整改，我方拒绝整改或未按出租方要求整改到位的，均视为我方严重违约。在现有隔离的情况下，由于我方管理疏漏等各种原因而造成任何人身或财产损害的，由我方承担全部责任，如出租方在前述情形中实际承担了责任的，我方同意无条件赔偿出租方的一切损失，包括但不限于相关的赔偿费用、诉讼费、仲裁费、保全费、鉴定费、公证费、律师费、差旅费等所有费用。</w:t>
      </w:r>
    </w:p>
    <w:p>
      <w:pPr>
        <w:spacing w:line="360" w:lineRule="auto"/>
        <w:ind w:firstLine="420" w:firstLineChars="200"/>
        <w:rPr>
          <w:rFonts w:hint="default"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（16）我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我方需按出租方要求从指定的场区大门进入租赁房屋。目前租赁房屋所在场区南侧规划道路，目前尚未完全开通，该规划道路北段已完成建设并通车，南端尚在建设中，预计年底建成。若道路延迟开通，出租人不承担任何责任。</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（17）我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本次交易实行公证管理，双方签订《房屋租赁合同》后【五】个工作日内，前往浙江省杭州市国立公证处办理公证手续。若租赁期内签订补充协议，仍需前往浙江省杭州市国立公证处办理公证手续。所有公证费用由我方承担（收费标准参照浙江省杭州市国立公证处出具的为准）。</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（18）我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交易标的物业管理服务单位为杭州怡苑物产集团有限公司。物业服务协议由我方与物业管理服务单位在房屋移交之日起一个月内自行签订，物业管理基础服务包括现场设施设备（消控、水泵房、高配房、电梯维保、人防、空调维保等）、垃圾清运、门岗保安、24小时巡逻岗保安、日常小修、绿化维护等；相关费用（不含租赁房屋内水、电、空调等能耗费用）以物业管理服务单位收费标准为准。</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（19）我</w:t>
      </w:r>
      <w:r>
        <w:rPr>
          <w:rFonts w:hint="eastAsia" w:asciiTheme="minorEastAsia" w:hAnsiTheme="minorEastAsia" w:eastAsiaTheme="minorEastAsia"/>
          <w:szCs w:val="21"/>
          <w:u w:val="none"/>
        </w:rPr>
        <w:t>方</w:t>
      </w:r>
      <w:r>
        <w:rPr>
          <w:rFonts w:hint="eastAsia" w:asciiTheme="minorEastAsia" w:hAnsiTheme="minorEastAsia" w:eastAsiaTheme="minorEastAsia"/>
          <w:szCs w:val="21"/>
          <w:u w:val="none"/>
          <w:lang w:val="en-US" w:eastAsia="zh-CN"/>
        </w:rPr>
        <w:t>已知悉并同意：租赁房屋不提供免费配套地上、地下停车位，若我方有停车需求，与出租方或者车位运营方另行商定。车位使用不得占用消防车道，地上车位使用停放需服从出租方或现场物业单位管理。</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（20）出租方与我方权利义务具体以出租方提供的《房屋租赁合同》（样本）为准。</w:t>
      </w:r>
    </w:p>
    <w:p>
      <w:pPr>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6、</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w:t>
      </w:r>
      <w:r>
        <w:rPr>
          <w:rFonts w:hint="eastAsia" w:asciiTheme="minorEastAsia" w:hAnsiTheme="minorEastAsia" w:eastAsiaTheme="minorEastAsia"/>
          <w:szCs w:val="21"/>
          <w:lang w:val="en-US" w:eastAsia="zh-CN"/>
        </w:rPr>
        <w:t>成交后按以下标准支付交易服务费：</w:t>
      </w:r>
    </w:p>
    <w:tbl>
      <w:tblPr>
        <w:tblStyle w:val="4"/>
        <w:tblpPr w:leftFromText="180" w:rightFromText="180" w:vertAnchor="text" w:horzAnchor="page" w:tblpX="2692" w:tblpY="9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51"/>
        <w:gridCol w:w="4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 w:hRule="atLeast"/>
        </w:trPr>
        <w:tc>
          <w:tcPr>
            <w:tcW w:w="2551" w:type="dxa"/>
            <w:noWrap w:val="0"/>
            <w:vAlign w:val="top"/>
          </w:tcPr>
          <w:p>
            <w:pPr>
              <w:spacing w:line="288" w:lineRule="auto"/>
              <w:jc w:val="center"/>
              <w:rPr>
                <w:rFonts w:ascii="Times New Roman" w:hAnsi="Times New Roman" w:eastAsia="宋体" w:cs="Times New Roman"/>
              </w:rPr>
            </w:pPr>
            <w:r>
              <w:rPr>
                <w:rFonts w:hint="eastAsia" w:ascii="宋体" w:hAnsi="宋体" w:eastAsia="宋体" w:cs="Times New Roman"/>
                <w:b/>
                <w:szCs w:val="21"/>
              </w:rPr>
              <w:t>成交金额（首年租金）</w:t>
            </w:r>
          </w:p>
        </w:tc>
        <w:tc>
          <w:tcPr>
            <w:tcW w:w="4111" w:type="dxa"/>
            <w:noWrap w:val="0"/>
            <w:vAlign w:val="center"/>
          </w:tcPr>
          <w:p>
            <w:pPr>
              <w:spacing w:line="288" w:lineRule="auto"/>
              <w:jc w:val="center"/>
              <w:rPr>
                <w:rFonts w:ascii="宋体" w:hAnsi="宋体" w:eastAsia="宋体" w:cs="Times New Roman"/>
                <w:b/>
                <w:szCs w:val="21"/>
              </w:rPr>
            </w:pPr>
            <w:r>
              <w:rPr>
                <w:rFonts w:hint="eastAsia" w:ascii="宋体" w:hAnsi="宋体" w:eastAsia="宋体" w:cs="Times New Roman"/>
                <w:b/>
                <w:szCs w:val="21"/>
              </w:rPr>
              <w:t>收费标准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5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500万（含）以下</w:t>
            </w:r>
          </w:p>
        </w:tc>
        <w:tc>
          <w:tcPr>
            <w:tcW w:w="411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2%+首年租金溢价部分的10%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5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500万以上</w:t>
            </w:r>
          </w:p>
        </w:tc>
        <w:tc>
          <w:tcPr>
            <w:tcW w:w="4111" w:type="dxa"/>
            <w:noWrap w:val="0"/>
            <w:vAlign w:val="top"/>
          </w:tcPr>
          <w:p>
            <w:pPr>
              <w:jc w:val="center"/>
              <w:rPr>
                <w:rFonts w:ascii="Times New Roman" w:hAnsi="Times New Roman" w:eastAsia="宋体" w:cs="Times New Roman"/>
              </w:rPr>
            </w:pPr>
            <w:r>
              <w:rPr>
                <w:rFonts w:hint="eastAsia" w:ascii="Times New Roman" w:hAnsi="Times New Roman" w:eastAsia="宋体" w:cs="Times New Roman"/>
              </w:rPr>
              <w:t>1.5%+首年租金溢价部分的10%</w:t>
            </w:r>
          </w:p>
        </w:tc>
      </w:tr>
    </w:tbl>
    <w:p>
      <w:pPr>
        <w:spacing w:line="360" w:lineRule="auto"/>
        <w:ind w:firstLine="420" w:firstLineChars="200"/>
        <w:rPr>
          <w:rFonts w:hint="eastAsia" w:asciiTheme="minorEastAsia" w:hAnsiTheme="minorEastAsia" w:eastAsiaTheme="minorEastAsia"/>
          <w:szCs w:val="21"/>
          <w:u w:val="none"/>
          <w:lang w:val="en-US" w:eastAsia="zh-CN"/>
        </w:rPr>
      </w:pPr>
    </w:p>
    <w:p>
      <w:pPr>
        <w:spacing w:line="360" w:lineRule="auto"/>
        <w:ind w:firstLine="420" w:firstLineChars="200"/>
        <w:rPr>
          <w:rFonts w:hint="eastAsia" w:asciiTheme="minorEastAsia" w:hAnsiTheme="minorEastAsia" w:eastAsiaTheme="minorEastAsia"/>
          <w:szCs w:val="21"/>
          <w:u w:val="none"/>
          <w:lang w:val="en-US" w:eastAsia="zh-CN"/>
        </w:rPr>
      </w:pPr>
    </w:p>
    <w:p>
      <w:pPr>
        <w:spacing w:line="360" w:lineRule="auto"/>
        <w:ind w:firstLine="420" w:firstLineChars="200"/>
        <w:rPr>
          <w:rFonts w:hint="eastAsia" w:asciiTheme="minorEastAsia" w:hAnsiTheme="minorEastAsia" w:eastAsiaTheme="minorEastAsia"/>
          <w:szCs w:val="21"/>
          <w:u w:val="none"/>
          <w:lang w:val="en-US" w:eastAsia="zh-CN"/>
        </w:rPr>
      </w:pP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7、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（1）意向承租方提交受让申请并交纳交易保证金后单方撤回受让申请的；</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（3）在被确定为承租方后未按约定签署《房屋租赁合同》的或未按约定支付交易价款的；</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（4）意向承租方未履行书面承诺事项的；</w:t>
      </w:r>
    </w:p>
    <w:p>
      <w:pPr>
        <w:spacing w:line="360" w:lineRule="auto"/>
        <w:ind w:firstLine="420" w:firstLineChars="200"/>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（5）存在其他违反交易规则情形的。</w:t>
      </w:r>
    </w:p>
    <w:p>
      <w:pPr>
        <w:spacing w:line="360" w:lineRule="auto"/>
        <w:ind w:firstLine="420" w:firstLineChars="200"/>
        <w:rPr>
          <w:rFonts w:hint="eastAsia" w:asciiTheme="minorEastAsia" w:hAnsiTheme="minorEastAsia" w:eastAsiaTheme="minorEastAsia"/>
          <w:szCs w:val="21"/>
          <w:u w:val="none"/>
          <w:lang w:val="en-US" w:eastAsia="zh-CN"/>
        </w:rPr>
      </w:pPr>
    </w:p>
    <w:p>
      <w:pPr>
        <w:spacing w:line="360" w:lineRule="auto"/>
        <w:ind w:firstLine="420" w:firstLineChars="200"/>
        <w:rPr>
          <w:rFonts w:hint="eastAsia" w:asciiTheme="minorEastAsia" w:hAnsiTheme="minorEastAsia" w:eastAsiaTheme="minorEastAsia"/>
          <w:szCs w:val="21"/>
          <w:u w:val="none"/>
          <w:lang w:val="en-US" w:eastAsia="zh-CN"/>
        </w:rPr>
      </w:pPr>
    </w:p>
    <w:p>
      <w:pPr>
        <w:spacing w:line="360" w:lineRule="auto"/>
        <w:rPr>
          <w:rFonts w:asciiTheme="minorEastAsia" w:hAnsiTheme="minorEastAsia" w:eastAsiaTheme="minorEastAsia"/>
          <w:szCs w:val="21"/>
          <w:u w:val="none"/>
        </w:rPr>
      </w:pP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rPr>
        <w:t xml:space="preserve">                                      </w:t>
      </w:r>
      <w:r>
        <w:rPr>
          <w:rFonts w:hint="eastAsia" w:asciiTheme="minorEastAsia" w:hAnsiTheme="minorEastAsia" w:eastAsiaTheme="minorEastAsia"/>
          <w:szCs w:val="21"/>
          <w:u w:val="none"/>
          <w:lang w:val="en-US" w:eastAsia="zh-CN"/>
        </w:rPr>
        <w:t xml:space="preserve"> </w:t>
      </w:r>
      <w:r>
        <w:rPr>
          <w:rFonts w:hint="eastAsia" w:asciiTheme="minorEastAsia" w:hAnsiTheme="minorEastAsia" w:eastAsiaTheme="minorEastAsia"/>
          <w:szCs w:val="21"/>
          <w:u w:val="none"/>
        </w:rPr>
        <w:t xml:space="preserve"> 意向承租方（签</w:t>
      </w:r>
      <w:r>
        <w:rPr>
          <w:rFonts w:hint="eastAsia" w:asciiTheme="minorEastAsia" w:hAnsiTheme="minorEastAsia" w:eastAsiaTheme="minorEastAsia"/>
          <w:szCs w:val="21"/>
          <w:u w:val="none"/>
          <w:lang w:val="en-US" w:eastAsia="zh-CN"/>
        </w:rPr>
        <w:t>字、盖</w:t>
      </w:r>
      <w:r>
        <w:rPr>
          <w:rFonts w:hint="eastAsia" w:asciiTheme="minorEastAsia" w:hAnsiTheme="minorEastAsia" w:eastAsiaTheme="minorEastAsia"/>
          <w:szCs w:val="21"/>
          <w:u w:val="none"/>
        </w:rPr>
        <w:t>章）：</w:t>
      </w:r>
    </w:p>
    <w:p>
      <w:pPr>
        <w:spacing w:line="360" w:lineRule="auto"/>
        <w:rPr>
          <w:rFonts w:asciiTheme="minorEastAsia" w:hAnsiTheme="minorEastAsia" w:eastAsiaTheme="minorEastAsia"/>
          <w:szCs w:val="21"/>
          <w:u w:val="none"/>
        </w:rPr>
      </w:pPr>
      <w:r>
        <w:rPr>
          <w:rFonts w:hint="eastAsia" w:asciiTheme="minorEastAsia" w:hAnsiTheme="minorEastAsia" w:eastAsiaTheme="minorEastAsia"/>
          <w:szCs w:val="21"/>
          <w:u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2523426"/>
    <w:rsid w:val="02CD4ECA"/>
    <w:rsid w:val="02E03E91"/>
    <w:rsid w:val="02F207FB"/>
    <w:rsid w:val="03637B8E"/>
    <w:rsid w:val="03D77D64"/>
    <w:rsid w:val="068275BD"/>
    <w:rsid w:val="06EC1098"/>
    <w:rsid w:val="07393F48"/>
    <w:rsid w:val="07F11FF4"/>
    <w:rsid w:val="09D86655"/>
    <w:rsid w:val="0DB952C4"/>
    <w:rsid w:val="0E8D400C"/>
    <w:rsid w:val="0E8E0595"/>
    <w:rsid w:val="0F9352A9"/>
    <w:rsid w:val="10FB74E3"/>
    <w:rsid w:val="13B47F83"/>
    <w:rsid w:val="13FE575E"/>
    <w:rsid w:val="14355CE9"/>
    <w:rsid w:val="16DB519C"/>
    <w:rsid w:val="1BDE7114"/>
    <w:rsid w:val="1C0C0A54"/>
    <w:rsid w:val="1C6A7E71"/>
    <w:rsid w:val="1DA23244"/>
    <w:rsid w:val="1ECF36C0"/>
    <w:rsid w:val="1ED335C1"/>
    <w:rsid w:val="1FC866A4"/>
    <w:rsid w:val="21A935B6"/>
    <w:rsid w:val="21AC6D11"/>
    <w:rsid w:val="21CB63CD"/>
    <w:rsid w:val="23245E1C"/>
    <w:rsid w:val="23962020"/>
    <w:rsid w:val="23B52D0B"/>
    <w:rsid w:val="27541626"/>
    <w:rsid w:val="27672658"/>
    <w:rsid w:val="2A1024C0"/>
    <w:rsid w:val="2B643037"/>
    <w:rsid w:val="2B9B16BB"/>
    <w:rsid w:val="2DAD328C"/>
    <w:rsid w:val="2ED07319"/>
    <w:rsid w:val="2F1020CC"/>
    <w:rsid w:val="2F353020"/>
    <w:rsid w:val="303F6776"/>
    <w:rsid w:val="30526E5C"/>
    <w:rsid w:val="30FE02B8"/>
    <w:rsid w:val="332F002D"/>
    <w:rsid w:val="343B1253"/>
    <w:rsid w:val="35EE323F"/>
    <w:rsid w:val="362574DB"/>
    <w:rsid w:val="381A4548"/>
    <w:rsid w:val="38F55940"/>
    <w:rsid w:val="39CB7EE2"/>
    <w:rsid w:val="3B7A0CB4"/>
    <w:rsid w:val="3C3D74B8"/>
    <w:rsid w:val="3C9A3A7E"/>
    <w:rsid w:val="3CF37363"/>
    <w:rsid w:val="3DBF2AD7"/>
    <w:rsid w:val="3E9909C2"/>
    <w:rsid w:val="3EB05F14"/>
    <w:rsid w:val="40B5491E"/>
    <w:rsid w:val="415778AB"/>
    <w:rsid w:val="4250662C"/>
    <w:rsid w:val="42717354"/>
    <w:rsid w:val="43CD5487"/>
    <w:rsid w:val="43E86FB4"/>
    <w:rsid w:val="47B32F4E"/>
    <w:rsid w:val="47BE5424"/>
    <w:rsid w:val="47C15DC2"/>
    <w:rsid w:val="480F5880"/>
    <w:rsid w:val="483764D0"/>
    <w:rsid w:val="48D3401F"/>
    <w:rsid w:val="4B301234"/>
    <w:rsid w:val="4B4C7FB6"/>
    <w:rsid w:val="4BBF5411"/>
    <w:rsid w:val="4BFD5BBF"/>
    <w:rsid w:val="4D5B6B24"/>
    <w:rsid w:val="4F7E1AB2"/>
    <w:rsid w:val="4F963AE8"/>
    <w:rsid w:val="4FF072EA"/>
    <w:rsid w:val="5069204F"/>
    <w:rsid w:val="506A3C7F"/>
    <w:rsid w:val="51344D91"/>
    <w:rsid w:val="52F31EA1"/>
    <w:rsid w:val="55EA57EF"/>
    <w:rsid w:val="56432D50"/>
    <w:rsid w:val="58556A96"/>
    <w:rsid w:val="588E3B01"/>
    <w:rsid w:val="5A0A7F7F"/>
    <w:rsid w:val="5B4F398D"/>
    <w:rsid w:val="5D9E2D52"/>
    <w:rsid w:val="5E9E0964"/>
    <w:rsid w:val="5F925256"/>
    <w:rsid w:val="5F9431C5"/>
    <w:rsid w:val="601E0337"/>
    <w:rsid w:val="605B341F"/>
    <w:rsid w:val="608E529F"/>
    <w:rsid w:val="631658E0"/>
    <w:rsid w:val="64252206"/>
    <w:rsid w:val="64DF7684"/>
    <w:rsid w:val="651C271D"/>
    <w:rsid w:val="68F03657"/>
    <w:rsid w:val="6CA33E9E"/>
    <w:rsid w:val="6D5C5AFC"/>
    <w:rsid w:val="6DE556BC"/>
    <w:rsid w:val="70DF22FA"/>
    <w:rsid w:val="71D70F01"/>
    <w:rsid w:val="722608F8"/>
    <w:rsid w:val="75B02034"/>
    <w:rsid w:val="79870BA2"/>
    <w:rsid w:val="7A4062F5"/>
    <w:rsid w:val="7BC5402F"/>
    <w:rsid w:val="7D047E0C"/>
    <w:rsid w:val="7EE842F0"/>
    <w:rsid w:val="7F087D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 w:type="paragraph" w:customStyle="1" w:styleId="9">
    <w:name w:val="NormalIndent"/>
    <w:basedOn w:val="1"/>
    <w:qFormat/>
    <w:uiPriority w:val="0"/>
    <w:pPr>
      <w:ind w:firstLine="42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11</TotalTime>
  <ScaleCrop>false</ScaleCrop>
  <LinksUpToDate>false</LinksUpToDate>
  <CharactersWithSpaces>1215</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汤文宽</cp:lastModifiedBy>
  <dcterms:modified xsi:type="dcterms:W3CDTF">2021-06-28T06:36:19Z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800844CC5DD94E6A8C12945E145C95A6</vt:lpwstr>
  </property>
</Properties>
</file>