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杭州宝善公寓4-1506等2</w:t>
      </w:r>
      <w:r>
        <w:rPr>
          <w:rFonts w:hint="eastAsia" w:asciiTheme="minorEastAsia" w:hAnsiTheme="minorEastAsia" w:eastAsiaTheme="minorEastAsia"/>
          <w:szCs w:val="21"/>
          <w:u w:val="single"/>
          <w:lang w:val="en-US" w:eastAsia="zh-CN"/>
        </w:rPr>
        <w:t>8</w:t>
      </w:r>
      <w:r>
        <w:rPr>
          <w:rFonts w:hint="eastAsia" w:asciiTheme="minorEastAsia" w:hAnsiTheme="minorEastAsia" w:eastAsiaTheme="minorEastAsia"/>
          <w:szCs w:val="21"/>
          <w:u w:val="single"/>
        </w:rPr>
        <w:t>处房产转让</w:t>
      </w:r>
      <w:r>
        <w:rPr>
          <w:rFonts w:hint="eastAsia" w:asciiTheme="minorEastAsia" w:hAnsiTheme="minorEastAsia" w:eastAsiaTheme="minorEastAsia"/>
          <w:szCs w:val="21"/>
        </w:rPr>
        <w:t>项目，现做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3、意向受让方须自行了解其对转让标的受让事项是否符合中国现行法律法规及标的所在地相关政策、房屋权属变更机构的相关规定，须自行承担无法过户的风险。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4、意向受让方须书面承诺：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同意在被确定为受让方次日起3个工作日内携带报名时上传的主体资格证明等相关文件原件至杭交所完成现场确认和签署交易记录、《成交通知书》、《资产交易合同》；并在《成交通知书》、《资产交易合同》签署次日起20个工作日内向杭交所资金监管账户一次性支交易服务费、交易价款等交易资金（《资产交易合同》签署当日，其交纳的交易保证金冲抵交易服务费，多余部分（若有）转为履约保证金，待应支付的剩余款项全部到帐后，履约保证金再转为交易价款的一部分）。若受让方需要委托经纪会员或经纪会员指定的第三方办理权证过户手续的，经纪会员或经纪会员指定的第三方可提供有偿的权证过户服务，同时受让方还应自《成交通知书》签署次日起20个工作日内预付成交价1.5%款项（房屋建筑面积90㎡以上的，预付款按成交价2%计收）作为办理权证过户手续的税、费（多退少补）。</w:t>
      </w:r>
    </w:p>
    <w:p>
      <w:pPr>
        <w:spacing w:line="360" w:lineRule="auto"/>
        <w:ind w:firstLine="420"/>
        <w:rPr>
          <w:rFonts w:asciiTheme="minorEastAsia" w:hAnsiTheme="minorEastAsia" w:eastAsiaTheme="minorEastAsia"/>
          <w:szCs w:val="21"/>
        </w:rPr>
      </w:pPr>
      <w:r>
        <w:rPr>
          <w:rFonts w:hint="eastAsia" w:asciiTheme="minorEastAsia" w:hAnsiTheme="minorEastAsia" w:eastAsiaTheme="minorEastAsia"/>
          <w:szCs w:val="21"/>
        </w:rPr>
        <w:t>对符合按揭政策的受让方申请用杭交所指定银行商业贷款支付成交款项并获得银行核准的，须在《成交通知书》、《资产交易合同》签署次日起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付清首付款和交易服务费及预付成交价1.5%款项（房屋建筑面积90㎡以上的，预付款按成交价2%计收）等交易资金（《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余款（已付的首付款可冲抵相应的成交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（2）同意杭交所经转让方申请次日起3个工作日内将受让方已交纳的交易价款全部划转至转让方指定账户。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3）我方知悉并同意：受让方应自行了解并完全符合国家及杭州市规定的购房条件，若因受让方原因造成所成交的房屋无法过户，所缴纳的购房款损失及其他经济损失均由受让方承担，与转让方、经纪会员无关，受让方已付的交易服务费、履约保证金不予返还。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我方知悉并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同意：成交标的交割前所涉及标的拖欠的各种费用（包括但不限于物业管理费、水电费等）由转让方承担，相关费用由受让方先行垫付,物业管理费从交接次月起由受让方承担。水、电重新开户相关手续由受让方自行办理并承担相关费用。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我方知悉并同意：不能保证交易标的原户主户口是否迁出，如有未迁出的情况发生，杭州产权交易所通知转让方，转让方再通知原户主把户口迁出，但有关学区房孩子能否就读的情况请意向受让方自行查证，对此转让方、经纪会员、杭州产权交易所不做承诺。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）我方知悉并同意：本次交易标的只限于权证核定的面积范围内，不包括标的外部的附属用房等。标的房屋长时间未使用，如有漏水或需维修的情况，均由受让方自理,转让方不承担任何费用和责任。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宋体" w:hAnsi="宋体" w:cs="宋体"/>
          <w:szCs w:val="21"/>
        </w:rPr>
        <w:t>（</w:t>
      </w:r>
      <w:r>
        <w:rPr>
          <w:rFonts w:hint="eastAsia" w:ascii="宋体" w:hAnsi="宋体" w:cs="宋体"/>
          <w:szCs w:val="21"/>
          <w:lang w:val="en-US" w:eastAsia="zh-CN"/>
        </w:rPr>
        <w:t>8</w:t>
      </w:r>
      <w:bookmarkStart w:id="0" w:name="_GoBack"/>
      <w:bookmarkEnd w:id="0"/>
      <w:r>
        <w:rPr>
          <w:rFonts w:hint="eastAsia" w:ascii="宋体" w:hAnsi="宋体" w:cs="宋体"/>
          <w:szCs w:val="21"/>
        </w:rPr>
        <w:t>）已知悉并同意：被确认为受让方后如果选择银行贷款支付交易价款的，同意由</w:t>
      </w:r>
      <w:r>
        <w:rPr>
          <w:rFonts w:hint="eastAsia" w:cs="宋体"/>
          <w:szCs w:val="21"/>
        </w:rPr>
        <w:t>杭交所</w:t>
      </w:r>
      <w:r>
        <w:rPr>
          <w:rFonts w:hint="eastAsia" w:ascii="宋体" w:hAnsi="宋体" w:cs="宋体"/>
          <w:szCs w:val="21"/>
        </w:rPr>
        <w:t xml:space="preserve">对我方支付到产金所账户“个人中心-未使用资金”的首付款进行扣除。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5、同意按成交金额的2.5%交纳交易服务费。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w:t>
      </w:r>
      <w:r>
        <w:rPr>
          <w:rFonts w:hint="eastAsia" w:asciiTheme="minorEastAsia" w:hAnsiTheme="minorEastAsia" w:eastAsiaTheme="minorEastAsia"/>
          <w:szCs w:val="21"/>
        </w:rPr>
        <w:t>1、若非转让方原因，出现以下任一情况时，意向受让方交纳的保证金不予退还，先用于补偿杭交所及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（2）在被确定为受让方后未按约定签署《资产交易合同》的或未按约定支付交易价款的；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（4）存在其他违反交易规则情形的。</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2021年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62A52"/>
    <w:rsid w:val="00083BEA"/>
    <w:rsid w:val="00092C9D"/>
    <w:rsid w:val="00143D8A"/>
    <w:rsid w:val="0020310B"/>
    <w:rsid w:val="0020570E"/>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47A5A"/>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41EB"/>
    <w:rsid w:val="00AF7180"/>
    <w:rsid w:val="00B15A11"/>
    <w:rsid w:val="00B170BB"/>
    <w:rsid w:val="00B36433"/>
    <w:rsid w:val="00B91182"/>
    <w:rsid w:val="00B923AA"/>
    <w:rsid w:val="00BC3420"/>
    <w:rsid w:val="00BD7EAF"/>
    <w:rsid w:val="00C02F3D"/>
    <w:rsid w:val="00C07B7D"/>
    <w:rsid w:val="00C2125E"/>
    <w:rsid w:val="00C300A5"/>
    <w:rsid w:val="00C434EA"/>
    <w:rsid w:val="00C76683"/>
    <w:rsid w:val="00C80243"/>
    <w:rsid w:val="00C85BC7"/>
    <w:rsid w:val="00CB5B8C"/>
    <w:rsid w:val="00CF4007"/>
    <w:rsid w:val="00D56D57"/>
    <w:rsid w:val="00DA69A1"/>
    <w:rsid w:val="00DD02F6"/>
    <w:rsid w:val="00DF6C3E"/>
    <w:rsid w:val="00E00E55"/>
    <w:rsid w:val="00E10ADA"/>
    <w:rsid w:val="00E55394"/>
    <w:rsid w:val="00E60BD5"/>
    <w:rsid w:val="00ED0403"/>
    <w:rsid w:val="00ED4E9F"/>
    <w:rsid w:val="00EF62AF"/>
    <w:rsid w:val="00F06BEC"/>
    <w:rsid w:val="00F47654"/>
    <w:rsid w:val="00FA0343"/>
    <w:rsid w:val="00FA6AB7"/>
    <w:rsid w:val="0CCA5698"/>
    <w:rsid w:val="136B2225"/>
    <w:rsid w:val="18CD5704"/>
    <w:rsid w:val="1A4D26DA"/>
    <w:rsid w:val="1B72195B"/>
    <w:rsid w:val="23F85B48"/>
    <w:rsid w:val="26851B4D"/>
    <w:rsid w:val="2AE67843"/>
    <w:rsid w:val="30873003"/>
    <w:rsid w:val="30BD3CBE"/>
    <w:rsid w:val="381E3097"/>
    <w:rsid w:val="47D425EF"/>
    <w:rsid w:val="51B53AC1"/>
    <w:rsid w:val="58C55509"/>
    <w:rsid w:val="610339B9"/>
    <w:rsid w:val="632E5D62"/>
    <w:rsid w:val="63EB17F0"/>
    <w:rsid w:val="68FE4611"/>
    <w:rsid w:val="75797666"/>
    <w:rsid w:val="7CFC679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7">
    <w:name w:val="页眉 Char"/>
    <w:basedOn w:val="6"/>
    <w:link w:val="3"/>
    <w:semiHidden/>
    <w:uiPriority w:val="99"/>
    <w:rPr>
      <w:rFonts w:ascii="Times New Roman" w:hAnsi="Times New Roman" w:eastAsia="宋体" w:cs="Times New Roman"/>
      <w:sz w:val="18"/>
      <w:szCs w:val="18"/>
    </w:rPr>
  </w:style>
  <w:style w:type="character" w:customStyle="1" w:styleId="8">
    <w:name w:val="页脚 Char"/>
    <w:basedOn w:val="6"/>
    <w:link w:val="2"/>
    <w:semiHidden/>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321</Words>
  <Characters>1830</Characters>
  <Lines>15</Lines>
  <Paragraphs>4</Paragraphs>
  <TotalTime>11</TotalTime>
  <ScaleCrop>false</ScaleCrop>
  <LinksUpToDate>false</LinksUpToDate>
  <CharactersWithSpaces>2147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2021-06-17T09:42:54Z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