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下沙高教园区学林街16号杭州师范大学下沙校区生活区2号学生公寓楼10号（现门牌号16-49）房屋3年租赁权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0592</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租赁房屋允许经营水果拼盘类零售、水果类产品加工制售，水果类产品制售；但不得经营现场炒、烤等附加项目（如烤肠、番薯、玉米等）；不得经营快递业；具体经营的业态项目不得与邻近商铺的经营项目重复</w:t>
      </w:r>
      <w:r>
        <w:rPr>
          <w:rFonts w:hint="eastAsia" w:asciiTheme="minorEastAsia" w:hAnsiTheme="minorEastAsia" w:eastAsiaTheme="minorEastAsia"/>
          <w:szCs w:val="21"/>
          <w:u w:val="single"/>
          <w:lang w:eastAsia="zh-CN"/>
        </w:rPr>
        <w:t>。</w:t>
      </w:r>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1E6A65AF"/>
    <w:rsid w:val="211D5489"/>
    <w:rsid w:val="31C73043"/>
    <w:rsid w:val="3CF26360"/>
    <w:rsid w:val="40486044"/>
    <w:rsid w:val="41371A19"/>
    <w:rsid w:val="43115D31"/>
    <w:rsid w:val="4CE61DE7"/>
    <w:rsid w:val="4E755E10"/>
    <w:rsid w:val="5AC02304"/>
    <w:rsid w:val="64542C4C"/>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2021-06-10T04:31:00Z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