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下沙高教园区学林街16号杭州师范大学下沙校区生活区4号学生公寓楼2号（现门牌号16-24）房屋3年租赁权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0594</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租赁房屋允许经营水果拼盘类零售、水果类产品加工制售，水果类产品制售；但不得经营现场煎、炸、烤等产生油烟和异味的附加项目；不得经营快递业；具体经营的业态项目不得与邻近商铺的经营项目重复。</w:t>
      </w:r>
      <w:bookmarkStart w:id="0" w:name="_GoBack"/>
      <w:bookmarkEnd w:id="0"/>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7151714"/>
    <w:rsid w:val="0B567B56"/>
    <w:rsid w:val="1E6A65AF"/>
    <w:rsid w:val="1F8304AD"/>
    <w:rsid w:val="211D5489"/>
    <w:rsid w:val="31C73043"/>
    <w:rsid w:val="3CF26360"/>
    <w:rsid w:val="40486044"/>
    <w:rsid w:val="41371A19"/>
    <w:rsid w:val="43115D31"/>
    <w:rsid w:val="4CE61DE7"/>
    <w:rsid w:val="4E755E10"/>
    <w:rsid w:val="5AC02304"/>
    <w:rsid w:val="64542C4C"/>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2021-06-10T04:35:59Z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