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黑体" w:hAnsi="黑体" w:eastAsia="黑体" w:cs="黑体"/>
          <w:b/>
          <w:bCs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0"/>
          <w:szCs w:val="30"/>
          <w:lang w:val="en-US" w:eastAsia="zh-CN"/>
        </w:rPr>
        <w:t>相关参数</w:t>
      </w:r>
    </w:p>
    <w:p>
      <w:pPr>
        <w:ind w:firstLine="560" w:firstLineChars="200"/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克莱斯勒旅行车与三菱牌客车，相关参数如下：克莱斯勒旅行车，牌照号浙A126JO，上牌日期为2008年3月11日，至现场勘查日已行驶12.09万公里，年检有效期至2021年3月，型号为DN6510P，车辆识别代号/车架号为LTNG544E880002278,发动机型号EGA，发动机号码80002278，排量/功率分别为3301ml/128kw，车辆右中侧车门有凹陷，车内灯系统故障；三菱牌客车，牌照号浙AG103Q，上牌时间为2010年4月2日，至现场勘察日已行驶14.05万公里，年检有效期至2021年4月，型号为DN6461P，车辆识别代号/车架号为LDNPBAEK8A0003550,发动机型号4G63S4N，发动机号码SHC5422，排量/功率分别为1997ml/125kw，车辆右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前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侧车门有较长划痕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t>，车尾部有凹陷，车尾灯略有损坏，左侧加油盖有划痕，漆面被损坏，左后侧车门有较长划痕。</w:t>
      </w: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>车辆目前已停用，均存放于公司地下车库内。</w:t>
      </w:r>
    </w:p>
    <w:p>
      <w:pP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36"/>
          <w:lang w:val="en-US" w:eastAsia="zh-CN"/>
        </w:rPr>
        <w:t xml:space="preserve">   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218348A"/>
    <w:rsid w:val="5BB174A9"/>
    <w:rsid w:val="71780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CX</dc:creator>
  <cp:lastModifiedBy>CX</cp:lastModifiedBy>
  <dcterms:modified xsi:type="dcterms:W3CDTF">2021-06-09T08:33:14Z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