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36" w:lineRule="auto"/>
        <w:jc w:val="center"/>
        <w:textAlignment w:val="auto"/>
        <w:rPr>
          <w:rFonts w:hint="eastAsia" w:asciiTheme="minorEastAsia" w:hAnsiTheme="minorEastAsia" w:eastAsiaTheme="minorEastAsia"/>
          <w:szCs w:val="21"/>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w:t>
      </w:r>
      <w:r>
        <w:rPr>
          <w:rFonts w:hint="eastAsia" w:asciiTheme="minorEastAsia" w:hAnsiTheme="minorEastAsia" w:eastAsiaTheme="minorEastAsia"/>
          <w:szCs w:val="21"/>
          <w:u w:val="single"/>
          <w:lang w:val="en-US" w:eastAsia="zh-CN"/>
        </w:rPr>
        <w:t>报废资产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HJS2021ZC0560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36"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non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non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w:t>
      </w:r>
      <w:bookmarkStart w:id="0" w:name="_GoBack"/>
      <w:bookmarkEnd w:id="0"/>
      <w:r>
        <w:t>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安全、消防协议书</w:t>
      </w:r>
      <w:r>
        <w:rPr>
          <w:rFonts w:hint="eastAsia" w:asciiTheme="minorEastAsia" w:hAnsiTheme="minorEastAsia" w:eastAsiaTheme="minorEastAsia"/>
          <w:szCs w:val="21"/>
          <w:u w:val="none"/>
          <w:lang w:eastAsia="zh-CN"/>
        </w:rPr>
        <w:t>》</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；并在</w:t>
      </w:r>
      <w:r>
        <w:rPr>
          <w:rFonts w:hint="eastAsia" w:asciiTheme="minorEastAsia" w:hAnsiTheme="minorEastAsia" w:eastAsiaTheme="minorEastAsia"/>
          <w:szCs w:val="21"/>
          <w:lang w:val="en-US" w:eastAsia="zh-CN"/>
        </w:rPr>
        <w:t>《成交通知书》、</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u w:val="none"/>
          <w:lang w:eastAsia="zh-CN"/>
        </w:rPr>
        <w:t>、《安全、消防协议书》</w:t>
      </w:r>
      <w:r>
        <w:rPr>
          <w:rFonts w:hint="eastAsia" w:asciiTheme="minorEastAsia" w:hAnsiTheme="minorEastAsia" w:eastAsiaTheme="minorEastAsia"/>
          <w:szCs w:val="21"/>
          <w:u w:val="none"/>
          <w:lang w:val="en-US" w:eastAsia="zh-CN"/>
        </w:rPr>
        <w:t>等文件</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lang w:val="en-US" w:eastAsia="zh-CN"/>
        </w:rPr>
        <w:t>5</w:t>
      </w:r>
      <w:r>
        <w:rPr>
          <w:rFonts w:asciiTheme="minorEastAsia" w:hAnsiTheme="minorEastAsia" w:eastAsiaTheme="minorEastAsia"/>
          <w:szCs w:val="21"/>
        </w:rPr>
        <w:t>个工作日内</w:t>
      </w:r>
      <w:r>
        <w:rPr>
          <w:rFonts w:hint="eastAsia"/>
        </w:rPr>
        <w:t>向杭交所指定账户一次性支付</w:t>
      </w:r>
      <w:r>
        <w:rPr>
          <w:rFonts w:hint="eastAsia"/>
          <w:lang w:val="en-US" w:eastAsia="zh-CN"/>
        </w:rPr>
        <w:t>交易</w:t>
      </w:r>
      <w:r>
        <w:rPr>
          <w:rFonts w:hint="eastAsia"/>
        </w:rPr>
        <w:t>价款</w:t>
      </w:r>
      <w:r>
        <w:rPr>
          <w:rFonts w:hint="eastAsia"/>
          <w:lang w:eastAsia="zh-CN"/>
        </w:rPr>
        <w:t>、</w:t>
      </w:r>
      <w:r>
        <w:rPr>
          <w:rFonts w:hint="eastAsia"/>
        </w:rPr>
        <w:t>交易服务费、履约保证金</w:t>
      </w:r>
      <w:r>
        <w:rPr>
          <w:rFonts w:hint="eastAsia"/>
          <w:lang w:eastAsia="zh-CN"/>
        </w:rPr>
        <w:t>（</w:t>
      </w:r>
      <w:r>
        <w:rPr>
          <w:rFonts w:hint="eastAsia"/>
          <w:lang w:val="en-US" w:eastAsia="zh-CN"/>
        </w:rPr>
        <w:t>人民币2000元</w:t>
      </w:r>
      <w:r>
        <w:rPr>
          <w:rFonts w:hint="eastAsia"/>
          <w:lang w:eastAsia="zh-CN"/>
        </w:rPr>
        <w:t>）</w:t>
      </w:r>
      <w:r>
        <w:rPr>
          <w:rFonts w:hint="eastAsia"/>
        </w:rPr>
        <w:t>等交易资金（</w:t>
      </w:r>
      <w:r>
        <w:rPr>
          <w:rFonts w:hint="eastAsia" w:asciiTheme="minorEastAsia" w:hAnsiTheme="minorEastAsia" w:eastAsiaTheme="minorEastAsia"/>
          <w:szCs w:val="21"/>
          <w:u w:val="none"/>
          <w:lang w:val="en-US" w:eastAsia="zh-CN"/>
        </w:rPr>
        <w:t>以到账时间为准</w:t>
      </w:r>
      <w:r>
        <w:rPr>
          <w:rFonts w:hint="eastAsia"/>
        </w:rPr>
        <w:t>）</w:t>
      </w:r>
      <w:r>
        <w:rPr>
          <w:rFonts w:hint="eastAsia"/>
          <w:lang w:eastAsia="zh-CN"/>
        </w:rPr>
        <w:t>。</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hint="eastAsia"/>
          <w:lang w:eastAsia="zh-CN"/>
        </w:rPr>
      </w:pPr>
      <w:r>
        <w:rPr>
          <w:rFonts w:hint="eastAsia"/>
          <w:lang w:val="en-US" w:eastAsia="zh-CN"/>
        </w:rPr>
        <w:t>4、我方已知悉并同意：若我方成为受让方，</w:t>
      </w:r>
      <w:r>
        <w:rPr>
          <w:rFonts w:hint="eastAsia"/>
          <w:lang w:eastAsia="zh-CN"/>
        </w:rPr>
        <w:t>转</w:t>
      </w:r>
      <w:r>
        <w:rPr>
          <w:rFonts w:hint="eastAsia"/>
          <w:lang w:val="en-US" w:eastAsia="zh-CN"/>
        </w:rPr>
        <w:t>让方及我方</w:t>
      </w:r>
      <w:r>
        <w:rPr>
          <w:rFonts w:hint="eastAsia"/>
          <w:lang w:eastAsia="zh-CN"/>
        </w:rPr>
        <w:t>的权利义务以及拆除的相关要求以转让方提供的《资产交易合同》（样本）及《</w:t>
      </w:r>
      <w:r>
        <w:rPr>
          <w:rFonts w:hint="eastAsia" w:asciiTheme="minorEastAsia" w:hAnsiTheme="minorEastAsia" w:eastAsiaTheme="minorEastAsia"/>
          <w:szCs w:val="21"/>
          <w:u w:val="none"/>
          <w:lang w:eastAsia="zh-CN"/>
        </w:rPr>
        <w:t>安全、消防协议书</w:t>
      </w:r>
      <w:r>
        <w:rPr>
          <w:rFonts w:hint="eastAsia"/>
          <w:lang w:eastAsia="zh-CN"/>
        </w:rPr>
        <w:t>》（样本）</w:t>
      </w:r>
      <w:r>
        <w:rPr>
          <w:rFonts w:hint="eastAsia"/>
          <w:lang w:val="en-US" w:eastAsia="zh-CN"/>
        </w:rPr>
        <w:t>等文件</w:t>
      </w:r>
      <w:r>
        <w:rPr>
          <w:rFonts w:hint="eastAsia"/>
          <w:lang w:eastAsia="zh-CN"/>
        </w:rPr>
        <w:t>为准。</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lang w:val="en-US" w:eastAsia="zh-CN"/>
        </w:rPr>
        <w:t>4</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（1）</w:t>
      </w:r>
      <w:r>
        <w:rPr>
          <w:rFonts w:asciiTheme="minorEastAsia" w:hAnsiTheme="minorEastAsia" w:eastAsiaTheme="minorEastAsia"/>
          <w:szCs w:val="21"/>
          <w:u w:val="none"/>
        </w:rPr>
        <w:t>意向受让方提交受让申请并交纳交易保证金后单方撤回</w:t>
      </w:r>
      <w:r>
        <w:rPr>
          <w:rFonts w:asciiTheme="minorEastAsia" w:hAnsiTheme="minorEastAsia"/>
          <w:szCs w:val="21"/>
          <w:u w:val="none"/>
        </w:rPr>
        <w:t>受让</w:t>
      </w:r>
      <w:r>
        <w:rPr>
          <w:rFonts w:asciiTheme="minorEastAsia" w:hAnsiTheme="minorEastAsia" w:eastAsiaTheme="minorEastAsia"/>
          <w:szCs w:val="21"/>
          <w:u w:val="none"/>
        </w:rPr>
        <w:t>申请的；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（2）产生符合条件</w:t>
      </w:r>
      <w:r>
        <w:rPr>
          <w:rFonts w:asciiTheme="minorEastAsia" w:hAnsiTheme="minorEastAsia" w:eastAsiaTheme="minorEastAsia"/>
          <w:szCs w:val="21"/>
          <w:u w:val="none"/>
        </w:rPr>
        <w:t>的意向受让方后，各意向受让方在竞价期间均不报价的；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（3）</w:t>
      </w:r>
      <w:r>
        <w:rPr>
          <w:rFonts w:asciiTheme="minorEastAsia" w:hAnsiTheme="minorEastAsia" w:eastAsiaTheme="minorEastAsia"/>
          <w:szCs w:val="21"/>
          <w:u w:val="none"/>
        </w:rPr>
        <w:t>在被确</w:t>
      </w:r>
      <w:r>
        <w:rPr>
          <w:rFonts w:hint="eastAsia" w:asciiTheme="minorEastAsia" w:hAnsiTheme="minorEastAsia" w:eastAsiaTheme="minorEastAsia"/>
          <w:szCs w:val="21"/>
          <w:u w:val="none"/>
        </w:rPr>
        <w:t>定</w:t>
      </w:r>
      <w:r>
        <w:rPr>
          <w:rFonts w:asciiTheme="minorEastAsia" w:hAnsiTheme="minorEastAsia" w:eastAsiaTheme="minorEastAsia"/>
          <w:szCs w:val="21"/>
          <w:u w:val="none"/>
        </w:rPr>
        <w:t>为受让方后未按约定签署</w:t>
      </w:r>
      <w:r>
        <w:rPr>
          <w:rFonts w:hint="eastAsia" w:asciiTheme="minorEastAsia" w:hAnsiTheme="minorEastAsia"/>
          <w:szCs w:val="21"/>
          <w:u w:val="none"/>
        </w:rPr>
        <w:t>《资产交易合同》</w:t>
      </w:r>
      <w:r>
        <w:rPr>
          <w:rFonts w:hint="eastAsia" w:asciiTheme="minorEastAsia" w:hAnsiTheme="minorEastAsia"/>
          <w:szCs w:val="21"/>
          <w:u w:val="none"/>
          <w:lang w:eastAsia="zh-CN"/>
        </w:rPr>
        <w:t>、</w:t>
      </w:r>
      <w:r>
        <w:rPr>
          <w:rFonts w:hint="eastAsia" w:asciiTheme="minorEastAsia" w:hAnsiTheme="minorEastAsia" w:eastAsiaTheme="minorEastAsia"/>
          <w:szCs w:val="21"/>
          <w:u w:val="none"/>
          <w:lang w:eastAsia="zh-CN"/>
        </w:rPr>
        <w:t>《安全、消防协议书》</w:t>
      </w:r>
      <w:r>
        <w:rPr>
          <w:rFonts w:asciiTheme="minorEastAsia" w:hAnsiTheme="minorEastAsia" w:eastAsiaTheme="minorEastAsia"/>
          <w:szCs w:val="21"/>
          <w:u w:val="none"/>
        </w:rPr>
        <w:t>的或未按约定支付交易价款的；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u w:val="none"/>
        </w:rPr>
      </w:pPr>
      <w:r>
        <w:rPr>
          <w:rFonts w:hint="eastAsia" w:asciiTheme="minorEastAsia" w:hAnsiTheme="minorEastAsia" w:eastAsiaTheme="minorEastAsia"/>
          <w:szCs w:val="21"/>
          <w:u w:val="none"/>
        </w:rPr>
        <w:t>（4）</w:t>
      </w:r>
      <w:r>
        <w:rPr>
          <w:rFonts w:asciiTheme="minorEastAsia" w:hAnsiTheme="minorEastAsia" w:eastAsiaTheme="minorEastAsia"/>
          <w:szCs w:val="21"/>
          <w:u w:val="none"/>
        </w:rPr>
        <w:t>意向受让方未履行书面承诺事项的；</w:t>
      </w:r>
    </w:p>
    <w:p>
      <w:pPr>
        <w:keepNext w:val="0"/>
        <w:keepLines w:val="0"/>
        <w:pageBreakBefore w:val="0"/>
        <w:kinsoku/>
        <w:wordWrap/>
        <w:overflowPunct/>
        <w:topLinePunct w:val="0"/>
        <w:autoSpaceDE/>
        <w:autoSpaceDN/>
        <w:bidi w:val="0"/>
        <w:adjustRightInd/>
        <w:snapToGrid/>
        <w:spacing w:line="336"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6D227B6"/>
    <w:rsid w:val="0DB15D63"/>
    <w:rsid w:val="15FD15E3"/>
    <w:rsid w:val="2098622B"/>
    <w:rsid w:val="299E7A60"/>
    <w:rsid w:val="318932B9"/>
    <w:rsid w:val="383E4634"/>
    <w:rsid w:val="402B3311"/>
    <w:rsid w:val="45864744"/>
    <w:rsid w:val="4A3864E8"/>
    <w:rsid w:val="5F8B0481"/>
    <w:rsid w:val="61AE401D"/>
    <w:rsid w:val="70093CED"/>
    <w:rsid w:val="74EE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22</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2021-06-02T06:00:00Z</cp:lastPrinted>
  <dcterms:modified xsi:type="dcterms:W3CDTF">2021-06-03T02:50:54Z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