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杭州市马塍路24-2号北端一层和二层房屋3年租赁权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HJS2021ZL0384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》签署当天支付履约保证金（以第一计租年度</w:t>
      </w:r>
      <w:r>
        <w:rPr>
          <w:rFonts w:hint="eastAsia" w:asciiTheme="minorEastAsia" w:hAnsiTheme="minorEastAsia" w:eastAsiaTheme="minorEastAsia"/>
          <w:bCs/>
          <w:szCs w:val="21"/>
          <w:lang w:val="en-US" w:eastAsia="zh-CN"/>
        </w:rPr>
        <w:t>两</w:t>
      </w:r>
      <w:r>
        <w:rPr>
          <w:rFonts w:hint="eastAsia" w:asciiTheme="minorEastAsia" w:hAnsiTheme="minorEastAsia" w:eastAsiaTheme="minorEastAsia"/>
          <w:bCs/>
          <w:szCs w:val="21"/>
        </w:rPr>
        <w:t>个月租金计收）至出租方指定账户，须在《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szCs w:val="21"/>
        </w:rPr>
        <w:t>同意承租方已付的交易保证金直接转为交易服务费，剩余部分由杭交所凭双方签署的《房屋租赁合同》等相应凭证支付至承租方指定账户。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w:t>
      </w:r>
      <w:r>
        <w:rPr>
          <w:rFonts w:hint="eastAsia" w:asciiTheme="minorEastAsia" w:hAnsiTheme="minorEastAsia" w:eastAsiaTheme="minorEastAsia"/>
          <w:bCs/>
          <w:szCs w:val="21"/>
          <w:lang w:val="en-US" w:eastAsia="zh-CN"/>
        </w:rPr>
        <w:t>至</w:t>
      </w:r>
      <w:bookmarkStart w:id="0" w:name="_GoBack"/>
      <w:bookmarkEnd w:id="0"/>
      <w:r>
        <w:rPr>
          <w:rFonts w:hint="eastAsia" w:asciiTheme="minorEastAsia" w:hAnsiTheme="minorEastAsia" w:eastAsiaTheme="minorEastAsia"/>
          <w:bCs/>
          <w:szCs w:val="21"/>
        </w:rPr>
        <w:t xml:space="preserve">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租赁房屋无房屋所有权证的，请承租方自行查询能否进行工商登记，申请营业执照。承租方保证在该租赁房屋所规定的用途范围内，按国家规定和《</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 xml:space="preserve">》约定依法经营，自行负责办理相关手续和支付相关费用，且按相关规定依法办理开业的证照等审批手续，否则视承租方违约。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175E5140"/>
    <w:rsid w:val="188129D6"/>
    <w:rsid w:val="2EDF5580"/>
    <w:rsid w:val="2EF318B6"/>
    <w:rsid w:val="331B0FC3"/>
    <w:rsid w:val="39E93E4D"/>
    <w:rsid w:val="40F949BD"/>
    <w:rsid w:val="41835542"/>
    <w:rsid w:val="48BB3FE2"/>
    <w:rsid w:val="6B913FB9"/>
    <w:rsid w:val="75F20941"/>
    <w:rsid w:val="7B36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32</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2021-04-26T08:57:18Z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