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杭州市西湖区保俶路162号房屋3年租赁权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HJS2021ZL0351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0%计收）至出租方指定账户。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5、本次租赁房屋的交接，在出租方与承租方之间进行。承租方付清第一期租金、租赁保证金后由出租方在起租日前将租赁房屋交付给承租方。如承租方逾期付款，出租方有权延期交付，租期不顺延。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6、在租赁期内，未提前经出租方书面同意，承租方不得将该房屋部分或全部转租给他人，或与他人交换各自租赁房屋，或将房屋部分或全部提供给他人使用。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27BE3"/>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 w:val="0418012E"/>
    <w:rsid w:val="176133CA"/>
    <w:rsid w:val="37D01EF5"/>
    <w:rsid w:val="39EB4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170</Words>
  <Characters>973</Characters>
  <Lines>8</Lines>
  <Paragraphs>2</Paragraphs>
  <TotalTime>23</TotalTime>
  <ScaleCrop>false</ScaleCrop>
  <LinksUpToDate>false</LinksUpToDate>
  <CharactersWithSpaces>1141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2021-04-23T03:00:10Z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